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C-8674/2010 vom 22. Januar 2013</w:t>
      </w:r>
    </w:p>
    <w:p>
      <w:r>
        <w:t>Bundesverwaltungsgericht, 2013-01-22, IT</w:t>
      </w:r>
    </w:p>
    <w:p>
      <w:r>
        <w:rPr>
          <w:b/>
        </w:rPr>
        <w:t xml:space="preserve">Quelle: </w:t>
      </w:r>
      <w:r>
        <w:t>https://mcp.opencaselaw.ch/entscheid/bvger_C-8674_2010</w:t>
      </w:r>
    </w:p>
    <w:p>
      <w:r>
        <w:t>FR: TAF C-8674/2010 du 22 janvier 2013</w:t>
      </w:r>
    </w:p>
    <w:p>
      <w:r>
        <w:t>IT: TAF C-8674/2010 del 22 gennaio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come pure il corrispondente Regolamento di applicazione [Regolamento (CEE) n. 574/72 del Consiglio del 21 marzo 1972, relativo all'applicazione del Regolamento n. 1408/71]. Si tratta di una normativa che si applica a tutte le rendite il cui diritto sorge dal 1° giugno 2002 o successivamente, in sostituzione delle Convenzioni di sicurezza sociale che disciplinavano i rapporti fra due o più Stati (art. 6 del Regolamento), e che sancisce il principio della parità di trattamento tra i cittadini di uno Stato membro della Comunità europea, ivi risiedenti, ed i cittadini svizzeri (art. 2 e 3 del Regolamento CEE n. 1408/71). L'Allegato II è stato modificato il 1° aprile 2012 (Decisione 1/2012 del Comitato misto del 31 marzo 2012; RU 2012 2345). Tuttavia, il caso in esame rimane regolato dalla versione dell'Allegato II in vigore fino al 31 marzo 2012 (RU 2002 1527, RU 2006 979 e 995, RU 2006 5851, RU 2009 2411 e 2421), secondo cui le parti contraenti applicano tra di loro i Regolamenti n. 1408/71 e 574/72 (RU 2005 3909, RU 2009 621, RU 2009 4845).</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n. 1408/71 e 574/72.</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w:t>
      </w:r>
    </w:p>
    <w:p>
      <w:r>
        <w:rPr>
          <w:b/>
        </w:rPr>
        <w:t>E. 4</w:t>
      </w:r>
    </w:p>
    <w:p>
      <w:r>
        <w:t>Il periodo di cognizione giudiziaria di questo Tribunale si estende fino all'11 novembre 2010, data della deci­sione impugnata. Il giudice delle assicurazioni sociali analizza, infatti, la legalità della decisione impugnata, in generale, secondo lo stato di fatto esistente al mo­mento in cui la decisione in lite è stata resa (DTF 130 V 445 consid. 1.2). Egli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rendita, sulla base di un grado d'invalidità variante dal 60 al 70%, non limitata nel tempo.</w:t>
      </w:r>
    </w:p>
    <w:p>
      <w:r>
        <w:rPr>
          <w:b/>
        </w:rPr>
        <w:t>E. 6</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13 luglio 2007. Questo Tribunale può quindi limitarsi ad esaminare se il ricorrente avesse diritto ad una rendita il 13 luglio 2006 (ossia dodici mesi precedenti la presentazione della domanda), oppure se un diritto alla rendita fosse sorto tra tale data e l'11 novembre 2010, data della decisione dell'UAIE.</w:t>
      </w:r>
    </w:p>
    <w:p>
      <w:r>
        <w:rPr>
          <w:b/>
        </w:rPr>
        <w:t>E. 7</w:t>
      </w:r>
    </w:p>
    <w:p>
      <w:r>
        <w:t>Secondo le norme applicabili, per avere diritto ad una rendita dell'assicurazione per l'invalidità svizzera, un cittadino italiano deve, cumulativamente, essere invalido ai sensi della legge svizzera ed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1408/71).In concreto, è pacifico che il ricorrente adempie la condizione della durata minima di contribuzione, alla quale la legge subordina l'erogazione di una rendita. Rimane ora da esaminare se sia invalido ai sensi di legge.</w:t>
      </w:r>
    </w:p>
    <w:p>
      <w:r>
        <w:rPr>
          <w:b/>
        </w:rPr>
        <w:t>E. 8.1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9.1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9.2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9.3</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10</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il danno invalidante e quali lavori siano ancora ragionevolmente esigibili dall'assicurato, ma non spetta al medico graduare l'invalidità dell'assicurato (DTF 115 V 134 consid. 2 e 114 V 314). In concreto, come risulta dal questionario compilato a suo tempo dal datore di lavoro, il ricorrente non ha più lavorato dopo il 30 novembre 2006, dimodoché è necessario riferirsi alla documentazione medica non solo per stabilire il danno alla sua salute, ma anche per sapere quali attività professionali sono ancora da lui esigibili e in che misura (capacità lavorativa residua).</w:t>
      </w:r>
    </w:p>
    <w:p>
      <w:r>
        <w:rPr>
          <w:b/>
        </w:rPr>
        <w:t>E. 11</w:t>
      </w:r>
    </w:p>
    <w:p>
      <w:r>
        <w:t>Il giudice delle assicurazioni sociali analizza la legalità della decisione impugnata, in generale, secondo lo stato di fatto esistente al momento in cui la decisione in lite è stata resa (DTF 130 V 445 consid. 1.2 e 1.2.1). Può tuttavia tenere conto dei fatti verificatisi dopo tale data, quando essi possono imporsi quali elementi d'accertamento retrospettivi della situazione anteriore alla decisione impugnata (DTF 130 V 138).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12.1</w:t>
      </w:r>
    </w:p>
    <w:p>
      <w:r>
        <w:t>In concreto, dai documenti medici all'incarto e, specialmente, dalla perizia particolareggiata E 213 della dott.ssa C._______, medico dell'INPS, del 9 ottobre 2007 (incarto AI, doc. 28/3 a 12), dalle due perizie pluridisciplinari del SAM, del 29 maggio 2008 e 16 giugno 2010 (incarto AI, doc. 35/1 a 18 e 89/1 a 19), con il complemento del 2 dicembre 2011 (incarto TAF, doc. 17), dalla perizia del dott. M._______, reumatologo, del 23 gennaio 2009 (incarto AI, doc. 51/1 a 13), come pure dai rapporti, dalle prese di posizione e dalle annotazioni dei medici dell'UAI-TI, ossia del dott. L._______, del 17 novembre 2008, della dott.ssa N._______, del 29 gennaio 2009 (incarto AI, doc. 52), del dott. B._______, del 17 giugno 2010 (incarto AI, doc. 91), e di quest'ultimo in collaborazione con la dott.ssa O._______, psichiatra, del 3 maggio 2011 (incarto TAF, doc. 7), risulta la diagnosi, con influenza sulla capacità lavorativa, di sindrome somatoforme da dolore persistente e depressiva ricorrente, con episodio attuale lieve, di periartropatia omeroscapolare sinistra nonché di sindrome lombospondilogena cronica, prevalentemente a destra, in pregresse discectomie per ernia discale L4/S1 (1997, 1999, 15 e 21 gennaio 2007), pregressa spondilodesi L5/S1 (7 novembre 2007), pregressa posa di IDET in L3/4 e di vari neurostimolatori (l'ultimo il 24 marzo 2010), in alterazioni degenerative del rachide lombare, in disturbi del rachide dorsale (ipercifosi e scoliosi sinistroconvessa), in decondizionamento e sbilancio muscolare e in "failed low back surgery", come pure la diagnosi, senza influenza sulla capacità lavorativa, di tabagismo. Visto il carattere univoco di questa diagnosi, del resto non contestata dal ricorrente, questo Tribunale non vede nessun valido motivo per non adottarla.</w:t>
      </w:r>
    </w:p>
    <w:p>
      <w:r>
        <w:rPr>
          <w:b/>
        </w:rPr>
        <w:t>E. 12.2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abbia subito, senza interruzione notevole, un'incapacità lavorativa di almeno il 40% durante almeno un anno.</w:t>
      </w:r>
    </w:p>
    <w:p>
      <w:r>
        <w:rPr>
          <w:b/>
        </w:rPr>
        <w:t>E. 13.1</w:t>
      </w:r>
    </w:p>
    <w:p>
      <w:r>
        <w:t>Rispetto alle conseguenze invalidanti delle affezioni diagnosticate, la dott.ssa C._______ aveva constatato, nella sua perizia E 213 del 9 ottobre 2007, che il ricorrente era in grado di svolgere regolarmente lavori leggeri, senza controindicazioni, ma non più l'attività d'operaio edile, fissando cionondimeno un grado d'invalidità, secondo criteri propri del diritto italiano, del 67%. Dal canto loro, i periti del SAM avevano stabilito, nella perizia del 29 maggio 2008, una capacità lavorativa dello 0% dal 15 gennaio 2007, data del terzo intervento di discectomia per recidiva d'ernia discale, per l'attività d'operaio edile e in attività pesanti o medio pesanti, ed una piena capacità lavorativa, con rendimento ridotto del 20%, a partire da sei mesi dopo l'intervento di spondilodesi L5/S1 del 7 novembre 2007, in attività confacenti, non implicanti movimenti eccessivamente ripetitivi con l'arto superiore sinistro sopra l'orizzontale ed un'importante precisione con le dita della mano sinistra. Nel suo rapporto peritale del 23 gennaio 2009, il dott. M._______ aveva confermato le conclusioni del SAM, ribadendo un'incapacità lavorativa completa per l'attività d'operaio edile ed una capacità lavorativa dell'80% (presenza normale con rendimento ridotto del 20%) in attività confacenti. Per quanto riguarda il servizio medico dell'UAI-TI, il dott. L._______ aveva riconosciuto, nella sua annotazione del 17 novembre 2008, un'incapacità lavorativa del 100% da agosto fino almeno ad ottobre 2008, in seguito all'intervento di IDET in L3/4, e la dott.ssa N._______ aveva adottato, nel suo rapporto del 29 gennaio 2009, la valutazione del dott. M._______, formulando inoltre un'incapacità lavorativa totale per qualsiasi attività dal 16 agosto 2008 fino al 23 gennaio 2009 (data della perizia dello stesso dott. M._______), in seguito alla posa di un elettroneurostimolatore, e, in un'annotazione del 31 marzo 2009, un'incapacità lavorativa totale anche per il periodo dal 9 al 15 febbraio 2009, dovuta ad un intervento di posa di un neurostimolatore in tasca sottocutanea.</w:t>
      </w:r>
    </w:p>
    <w:p>
      <w:r>
        <w:rPr>
          <w:b/>
        </w:rPr>
        <w:t>E. 13.2</w:t>
      </w:r>
    </w:p>
    <w:p>
      <w:r>
        <w:t>Più recentemente, ossia dopo la sentenza di questo Tribunale del 4 marzo 2010, i periti del SAM hanno valutato, nella loro perizia del 16 giugno 2010, una capacità lavorativa, dal 15 gennaio 2007, data del terzo intervento di discectomia per recidiva d'ernia discale, dello 0% per l'attività d'operaio edile e in occupazioni pesanti o medio pesanti, come già stabilito nella perizia dello stesso SAM del 29 maggio 2008, dell'80% (presenza durante tutto il giorno, con rendimento ridotto del 20%) a sei mesi dall'intervento del 7 novembre 2007, in attività rispettose dei limiti dettagliatamente descritti, di cui si dirà qui di seguito, e, da settembre 2008, del 70% in qualsiasi occupazione per ragioni psichiatriche, così come esposto dal dott. R._______, psichiatra, nel suo rapporto specialistico all'attenzione del SAM, del 19 maggio 2010 (incarto AI, doc. 89/20 a 26), tenuto conto del fatto che la deflessione dell'umore, l'astenia e l'appiattimento rendono il ricorrente lento, con una diminuzione della caricabilità, del rendimento psicofisico e della continuità nel lavoro. Il dott. B._______, nel suo rapporto del 17 giugno 2010, come pure nel rapporto in collaborazione con la dott.ssa O._______, del 3 maggio 2011, ha riassunto la situazione formulando un'incapacità lavorativa del 100% nell'attività d'operaio edile da novembre 2006, nonché del 20% da giugno e 30% da settembre 2008 in occupazioni adeguate, mai implicanti in particolare il trasporto e il sollevamento all'altezza dei fianchi di pesi superiori a 45 kg e la salita su scale a pioli, raramente l'esecuzione di lavori al di sopra della testa, la rotazione del tronco, la posizione in piedi ed inclinata in avanti, talvolta la posizione seduta o in piedi di lunga durata e la salita di scale, molto spesso il trasporto e il sollevamento sopra l'altezza del petto di pesi fino a 5kg, maneggiare attrezzi di precisione ed assumere la posizione seduta ed inclinata in avanti nonché inginocchiata.</w:t>
      </w:r>
    </w:p>
    <w:p>
      <w:r>
        <w:rPr>
          <w:b/>
        </w:rPr>
        <w:t>E. 13.3</w:t>
      </w:r>
    </w:p>
    <w:p>
      <w:r>
        <w:t>Per quanto concerne i documenti medici prodotti dal ricorrente prima e durante la presente procedura, in nessuno di essi si ritrova una descrizione, tantomeno circostanziata, dei limiti funzionali indotti dalle affezioni somatiche, a parte nei rapporti del dott. D._______ (incarto AI, doc. 30/2 e 3, 36/1 e 45/3 e 4), che sono però silenti riguardo all'effettiva capacità lavorativa residua del ricorrente. Rispetto ai limiti funzionali derivanti dalla patologia psichiatrica, i rapporti della dott.ssa P._______, del 7 ottobre 2009 e 11 gennaio 2010 (incarto AI, doc. 74/8 e 9), riferiscono che il ricorrente non è più in grado di lavorare, ma non spiegano le ragioni di questa presunta incapacità lavorativa totale e, soprattutto, non la mettono mai in relazione esplicita con il disturbo depressivo, gli elementi somatici, psichiatrici, sociali ed economici essendo infatti considerati senza distinzione. Le relazioni psichiatriche della dott.ssa T._______, del 24 aprile e 13 novembre 2012, esorbitano nettamente dal periodo d'esame della causa, il cui limite è, come già ricordato, l'11 novembre 2010, data della decisione avversata, e non possono dunque essere prese in considerazione.</w:t>
      </w:r>
    </w:p>
    <w:p>
      <w:r>
        <w:rPr>
          <w:b/>
        </w:rPr>
        <w:t>E. 13.4</w:t>
      </w:r>
    </w:p>
    <w:p>
      <w:r>
        <w:t>Visto quanto precede, questo Tribunale rileva, da un lato, che i periti del SAM, il dott. M._______ e i medici dell'UAI-TI hanno constatato un'incapacità lavorativa del 100% nell'attività d'operaio edile da novembre 2006, nonché del 20% da giugno e 30% da settembre 2008 in occupazioni adeguate, secondo i limiti funzionali sopra esposti, e questo in modo continuativo (cfr. perizia SAM del 16 giugno 2010, pagg. 18 e 19). Dall'altro lato, il dott. L._______ e la dott.ssa N._______ hanno fissato un'incapacità lavorativa totale anche dal 16 agosto 2008 al 23 gennaio 2009, data della perizia del dott. M._______, ossia durante il periodo di convalescenza dalla posa di un elettroneurostimolatore, nonché dal 9 al 15 febbraio 2009, come conseguenza dell'intervento di posizionamento di un neurostimolatore in tasca sottocutanea. Per quanto riguarda il periodo dal 23 gennaio al 9 febbraio 2009 va rilevato che non è verosimile che l'interessato abbia ritrovato una capacità di lavoro. La situazione non si era infatti stabilizzata e ha richiesto un nuovo intervento dopo un breve lasso di tempo. Si deve pertanto ritenere che, contrariamente a quanto indicato dal dott. L._______ e dalla dott.ssa N._______, la capacità di lavoro è migliorata in modo stabile soltanto dopo il 15 febbraio 2009. I medici consultati sono invece unanimi, e non vi è motivo per discostarsi da questa valutazione, sul fatto che il ricorrente ha ritrovato una capacità di lavoro, sia pure limitata al 70%, a partire da una certa data. Questo Tribunale non può quindi che considerare che il ricorrente presenta un'incapacità lavorativa del 100% nell'attività d'operaio edile da novembre 2006, del 20% da giugno 2008 in occupazioni confacenti, di nuovo del 100% dal 16 agosto 2008 al 15 febbraio 2009 per qualsiasi attività, e del 30% dal 16 febbraio 2009 (invece del 23 gennaio 2009) in poi rispetto a lavori adeguati al suo stato di salute.</w:t>
      </w:r>
    </w:p>
    <w:p>
      <w:r>
        <w:rPr>
          <w:b/>
        </w:rPr>
        <w:t>E. 14.1</w:t>
      </w:r>
    </w:p>
    <w:p>
      <w:r>
        <w:t>Come già esposto al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14.2</w:t>
      </w:r>
    </w:p>
    <w:p>
      <w:r>
        <w:t>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w:t>
      </w:r>
    </w:p>
    <w:p>
      <w:r>
        <w:rPr>
          <w:b/>
        </w:rPr>
        <w:t>E. 14.3</w:t>
      </w:r>
    </w:p>
    <w:p>
      <w:r>
        <w:t>In concreto, l'UAI-TI ha proceduto al calcolo del grado d'invalidità in applicazione del metodo generale di confronto dei redditi. Dal rapporto finale della consulente in integrazione professionale, del 7 luglio 2010 (incarto AI, doc. 92 a 94), che si riferisce in parte al precedente rapporto del 24 giugno 2008 (incarto AI, doc. 38), risulta che, nel 2008, il ricorrente avrebbe potuto guadagnare in Ticino, visti i dati indicizzati forniti dal datore di lavoro per il 2006, un salario da valido annuo di Fr. 61'109.-, e, secondo i dati UFS relativi ad attività leggere e non qualificate (tabelle RSS), adattati a 41.6 ore lavorative settimanali (tabella B 9.2, La Vie Économique, 1/2-2006, pag. 94), un salario da invalido di Fr. 59'979.-, ridotto dell'8% in ragione del carattere leggero delle attività sostitutive, e considerato nella misura del 70% (diminuzione del rendimento del 30%), ossia Fr. 38'626.-, per cui si ricava una perdita di guadagno del 36.79%, corrispondente ad una grado d'invalidità pari al 37%. A proposito dell'esecuzione di questo calcolo occorre sottolinearne la correttezza, in particolare per quanto concerne la non necessità di procedere al parallelismo dei redditi (differenza del 4.92% tra il salario da valido percepito in Ticino e il salario medio svizzero) e la giustificazione della riduzione dell'8% del salario da invalido in ragione del carattere leggero delle attività sostitutive, come si può evincere dalle spiegazioni dettagliate della consulente in integrazione professionale (incarto AI, doc. 94/2 a 4).</w:t>
      </w:r>
    </w:p>
    <w:p>
      <w:r>
        <w:rPr>
          <w:b/>
        </w:rPr>
        <w:t>E. 15</w:t>
      </w:r>
    </w:p>
    <w:p>
      <w:r>
        <w:t>In conclusione, questo Tribunale rileva dunque che il miglioramento della capacità al guadagno del ricorrente, in seguito alla sua ritrovata capacità lavorativa al 70% dal 15 febbraio 2009, durava già da tre mesi il 15 maggio 2009, per cui, considerato il grado d'invalidità del 37%, la soppressione della rendita intera d'invalidità, versatagli dal 1° novembre 2007 dopo un anno d'attesa (cfr. consid. 8.3), non deve intervenire a decorrere dal 1° maggio 2009, come deciso dall'UAIE, ma dal 1° giugno 2009 (art. 88a cpv. 1 OAI; sentenza del Tribunale federale 9C_491/2008, del 21 aprile 2009 consid. 2).</w:t>
      </w:r>
    </w:p>
    <w:p>
      <w:r>
        <w:rPr>
          <w:b/>
        </w:rPr>
        <w:t>E. 16</w:t>
      </w:r>
    </w:p>
    <w:p>
      <w:r>
        <w:t>Per quanto riguarda la documentazione psichiatrica inoltrata con lo scritto del 21 novembre 2012, nel quale è fatto riferimento ad un tentativo di suicidio, essa esorbita nettamente, come già sottolineato al consid. 13.3, dal periodo d'esame della presente causa, per cui non può essere considerata in questa procedura. Ciononostante, se del caso, il ricorrente potrà formulare una nuova domanda di rendita sulla base della detta documentazione.</w:t>
      </w:r>
    </w:p>
    <w:p>
      <w:r>
        <w:rPr>
          <w:b/>
        </w:rPr>
        <w:t>E. 17</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18</w:t>
      </w:r>
    </w:p>
    <w:p>
      <w:r>
        <w:t>Di conseguenza, il ricorso deve essere parzialmente accolto nel senso che al ricorrente è riconosciuto il diritto ad una rendita intera d'invalidità dal 1° novembre 2007 al 31 maggio 2009.</w:t>
      </w:r>
    </w:p>
    <w:p>
      <w:r>
        <w:rPr>
          <w:b/>
        </w:rPr>
        <w:t>E. 19.1</w:t>
      </w:r>
    </w:p>
    <w:p>
      <w:r>
        <w:t>Secondo l'art. 63 cpv. 1 PA, le spese processuali sono di regola messe a carico della parte soccombente. Ciò precisato, esse possono essere condonate totalmente o parzialmente alla parte che non beneficia del gratuito patrocinio previsto all'art. 65 PA, qualora, per dati motivi inerenti al litigio o alla stessa parte, non risulti equo addossargliele (art. 6 lett. b del Regolamento del 21 febbraio 2008 sulle tasse e sulle spese ripetibili nelle cause dinanzi al Tribunale amministrativo federale [TS-TAF, RS 173.320.2]. In concreto, non si prelevano spese di procedura.</w:t>
      </w:r>
    </w:p>
    <w:p>
      <w:r>
        <w:rPr>
          <w:b/>
        </w:rPr>
        <w:t>E. 19.2</w:t>
      </w:r>
    </w:p>
    <w:p>
      <w:r>
        <w:t>In conformità con l'art. 64 cpv. 1 PA, l'autorità di ricorso, se ammette il ricorso in tutto o in parte, può assegnare al ricorrente un'indennità per le spese indispensabili e relativamente elevate che ha sopportato (spese ripetibili). Se la parte vince solo parzialmente, le spese ripetibili sono ridotte in proporzione (art. 7 cpv. 2 TS-TAF). Le autorità federali non hanno diritto ad un'indennità a titolo di ripetibili (art. 7 cpv. 3 TS-TAF). In concreto, considerato l'esito della procedura, si assegna al ricorrente un'indennità per spese ripetibili ridotta di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