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C-860/2022 vom 20. Januar 2022</w:t>
      </w:r>
    </w:p>
    <w:p>
      <w:r>
        <w:t>Bundesverwaltungsgericht, 2022-01-20, DE</w:t>
      </w:r>
    </w:p>
    <w:p>
      <w:r>
        <w:rPr>
          <w:b/>
        </w:rPr>
        <w:t xml:space="preserve">Quelle: </w:t>
      </w:r>
      <w:r>
        <w:t>https://mcp.opencaselaw.ch/entscheid/bvger_C-860_2022_d20220120</w:t>
      </w:r>
    </w:p>
    <w:p>
      <w:r>
        <w:t>FR: TAF C-860/2022 du 20 janvier 2022</w:t>
      </w:r>
    </w:p>
    <w:p>
      <w:r>
        <w:t>IT: TAF C-860/2022 del 20 gennaio 2022</w:t>
      </w:r>
    </w:p>
    <w:p>
      <w:pPr>
        <w:pStyle w:val="Heading2"/>
      </w:pPr>
      <w:r>
        <w:t>Regeste</w:t>
      </w:r>
    </w:p>
    <w:p>
      <w:r>
        <w:t>Rentenanspruch | IV, Invalidenrente; Verfügung der IVSTA vom 20. Januar 2022</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im Betrag von Fr. 800.- wird dem Beschwerdeführer nach Eintritt der Rechtskraft dieses Entscheids zurückerstattet.</w:t>
      </w:r>
    </w:p>
    <w:p>
      <w:r>
        <w:rPr>
          <w:b/>
        </w:rPr>
        <w:t>E. 3</w:t>
      </w:r>
    </w:p>
    <w:p>
      <w:r>
        <w:t>Die Vorinstanz wird verpflichtet, dem Beschwerdeführer eine Parteientschädigung von Fr. 2'916.65 zu bezahlen.</w:t>
      </w:r>
    </w:p>
    <w:p>
      <w:r>
        <w:rPr>
          <w:b/>
        </w:rPr>
        <w:t>E. 4</w:t>
      </w:r>
    </w:p>
    <w:p>
      <w:r>
        <w:t>Dieser Entscheid geht an den Beschwerdeführer, die Vorinstanz und das Bundesamt für Sozialversicherungen. Für die Rechtsmittelbelehrung wird auf die nächste Seite verwiesen.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