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C-859/2006 vom 13. August 2007</w:t>
      </w:r>
    </w:p>
    <w:p>
      <w:r>
        <w:t>Bundesverwaltungsgericht, 2007-08-13, DE</w:t>
      </w:r>
    </w:p>
    <w:p>
      <w:r>
        <w:rPr>
          <w:b/>
        </w:rPr>
        <w:t xml:space="preserve">Quelle: </w:t>
      </w:r>
      <w:r>
        <w:t>https://mcp.opencaselaw.ch/entscheid/bvger_C-859_2006</w:t>
      </w:r>
    </w:p>
    <w:p>
      <w:r>
        <w:t>FR: TAF C-859/2006 du 13 août 2007</w:t>
      </w:r>
    </w:p>
    <w:p>
      <w:r>
        <w:t>IT: TAF C-859/2006 del 13 agosto 2007</w:t>
      </w:r>
    </w:p>
    <w:p>
      <w:pPr>
        <w:pStyle w:val="Heading2"/>
      </w:pPr>
      <w:r>
        <w:t>Regeste</w:t>
      </w:r>
    </w:p>
    <w:p>
      <w:r>
        <w:t>Einreise</w:t>
      </w:r>
    </w:p>
    <w:p>
      <w:pPr>
        <w:pStyle w:val="Heading2"/>
      </w:pPr>
      <w:r>
        <w:t>Erwägungen</w:t>
      </w:r>
    </w:p>
    <w:p>
      <w:r>
        <w:rPr>
          <w:b/>
        </w:rPr>
        <w:t>E. 1.1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Dessen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Demnach richtet sich das Verfahren nach den Bestimmungen des Bundesgesetzes vom 20. Dezember 1968 über das Verwaltungsverfahren (VwVG, SR 172.021) soweit das Verwaltungsgerichtsgesetz nichts anderes bestimmt (vgl. Art. 37 VGG).</w:t>
      </w:r>
    </w:p>
    <w:p>
      <w:r>
        <w:rPr>
          <w:b/>
        </w:rPr>
        <w:t>E. 1.3</w:t>
      </w:r>
    </w:p>
    <w:p>
      <w:r>
        <w:t>Die Rekurrenten sind als Gastgeber gemäss Art. 20 Abs. 2 ANAG i.V.m. Art. 48 VwVG zur Beschwerdeführung legitimiert. Auf die frist- und formgerechte Beschwerde ist daher einzutreten (Art. 49 - 52 VwVG).</w:t>
      </w:r>
    </w:p>
    <w:p>
      <w:r>
        <w:rPr>
          <w:b/>
        </w:rPr>
        <w:t>E. 2.1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2.2</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w:t>
      </w:r>
    </w:p>
    <w:p>
      <w:r>
        <w:rPr>
          <w:b/>
        </w:rPr>
        <w:t>E. 2.3</w:t>
      </w:r>
    </w:p>
    <w:p>
      <w:r>
        <w:t>Die Gesuchstellerin kann sich auf keine Ausnahmeregelung berufen und unterliegt aufgrund ihrer Nationalität den Visumsbestimmungen (vgl. Art. 1-5 VEA). Für die Prüfung, ob das Kriterium der gesicherten Wiederausreise erfüllt ist, muss ein zukünftiges Verhalten beurteilt werden. Dazu lassen sich in der Regel keine gesicherten Feststellungen, sondern lediglich Voraussagen machen. Dabei sind sämtliche Umstände des konkreten Einzelfalles zu würdigen.</w:t>
      </w:r>
    </w:p>
    <w:p>
      <w:r>
        <w:rPr>
          <w:b/>
        </w:rPr>
        <w:t>E. 3.1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3.2</w:t>
      </w:r>
    </w:p>
    <w:p>
      <w:r>
        <w:t>Indien gehört zu denjenigen Ländern, in denen breite Bevölkerungsschichten unter schwierigen wirtschaftlichen und sozialen Bedingungen leben. Trotz des anhaltenden Wirtschaftswachstums ist das Land geprägt von weit verbreiteter Armut und einer hohen Analphabetenrate. Etwa ein Viertel der über eine Milliarde Menschen in Indien lebt unter der Armutsgrenze und muss mit weniger als einem US-Dollar täglich auskommen. Knapp 80% der Gesamtbevölkerung leben von bis zu zwei US-Dollar pro Tag (Länder- und Reiseinformationen auf der Website des Auswärtigen Amtes, Länder- und Reiseinformationen &gt; Indien &gt; Wirtschaft, &lt;http://www.auswaertiges-amt.de&gt;, besucht am 30. Juli 2007).</w:t>
      </w:r>
    </w:p>
    <w:p>
      <w:r>
        <w:rPr>
          <w:b/>
        </w:rPr>
        <w:t>E. 3.3</w:t>
      </w:r>
    </w:p>
    <w:p>
      <w:r>
        <w:t>In Anbetracht dieser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4.1</w:t>
      </w:r>
    </w:p>
    <w:p>
      <w:r>
        <w:t>Die 30-jährige, ledige Gesuchstellerin lebt in D._______ im Bundesstaat Westbengalen. Nach Angaben der Beschwerdeführer betreibt sie erfolgreich seit 15 Jahren ein Geschäft bzw. eine Boutique und besitzt ein eigenes Haus. Zudem verweisen die Beschwerdeführer auf familiäre Verpflichtungen im Heimatland, denn die Eltern der Gesuchstellerin seien auf deren Unterstützung angewiesen. Wie die Vorinstanz in ihrer Vernehmlassung vom 8. November 2006 ausführt, begründen die Rekurrenten weder die beruflichen noch die familiären Verpflichtungen näher. Zwar schliesst ein dreimonatiger Besuchsaufenthalt allfällige berufliche oder familiäre Verpflichtungen der Gesuchstellerin in ihrem Heimatland nicht aus. Die beabsichtigte Aufenthaltsdauer lässt jedoch vorliegend darauf schliessen, dass Vertretungsmöglichkeiten bestehen, die auch eine längere Abwesenheit der Gesuchstellerin ermöglichen könnten. Insbesondere hinsichtlich der Unterstützungsbedürftigkeit der Eltern ist zudem zu berücksichtigen, dass der Wunsch nach einer Emigration häufig mit der Hoffnung und Erwartung verbunden ist, nahe Angehörige später nachziehen zu können, oder zurückbleibende Familienangehörige aus dem Ausland effizienter unterstützen zu können. Daher scheint die vorgebrachte familiäre Verpflichtung die fristgerechte Wiederausreise der Gesuchstellerin nicht ausreichend zu gewährleisten, zumal auch ihre Schwester ins Ausland emigrierte. Dieses Risiko vermögen auch die angeführten beruflichen Verpflichtungen nicht zu mindern. Selbst wenn die Gesuchstellerin bereits seit 15 Jahren ein Geschäft führen sollte und dadurch eine gewisse berufliche Verwurzelung in ihrem Heimatland vorhanden sein dürfte, so besteht die Tendenz zur Emigration insbesondere bei jüngeren und ungebundenen Personen. Das Alter der Gesuchstellerin und der Umstand, dass keine weiteren Verpflichtungen im Heimatland ersichtlich sind, sprechen daher nicht zugunsten der Prognose einer fristgerechten Wiederausreise.</w:t>
      </w:r>
    </w:p>
    <w:p>
      <w:r>
        <w:rPr>
          <w:b/>
        </w:rPr>
        <w:t>E. 4.2</w:t>
      </w:r>
    </w:p>
    <w:p>
      <w:r>
        <w:t>Die persönlichen Verhältnisse der Gesuchstellerin lassen somit die fristgerechte Ausreise nach erfolgtem Besuchsaufenthalt nicht als ausreichend gesichert erscheinen. An diesem Ergebnis vermögen auch der Hinweis der Beschwerdeführer auf ihren Leumund und ihre am 20. Juli 2006 geleistete Garantieerklärung nichts zu ändern. Zwar haben sich die Beschwerdeführer mit der Garantieerklärung zur Übernahme sämtlicher Kosten für den Lebensunterhalt sowie der Rückreise der Beschwerdeführerin, bis zu einem Betrag von Fr. 20 000.-- verpflichtet. Die Rekurrenten können jedoch weder aufgrund der Garantieerklärung noch ihrer persönlichen Zusicherung dazu angehalten werden, die fristgerechte Ausreise der Beschwerdeführerin zu veranlassen, weshalb die Verhältnisse der Beschwerdeführerin ausreichende Gewähr für eine fristgerechte Wiederausreise bieten müssen (vgl. Urteile des Bundesverwaltungsgerichts C-1000/2006 E. 4.5 vom 4. Juni 2007 sowie C-778/2006 E. 5 vom 9. Mai 2007).</w:t>
      </w:r>
    </w:p>
    <w:p>
      <w:r>
        <w:rPr>
          <w:b/>
        </w:rPr>
        <w:t>E. 5.1</w:t>
      </w:r>
    </w:p>
    <w:p>
      <w:r>
        <w:t>Aus diesen Gründen ist somit nicht zu beanstanden, dass die Vorinstanz das öffentliche Interesse sowie die Beachtung der geltenden Bestimmungen entsprechend gewichtete und der Gesuchstellerin die Einreise verweigerte. Die angefochtene Verfügung verletzt daher das Bundesrecht nicht. Der rechtserhebliche Sachverhalt wurde richtig und vollständig festgestellt, und die Vorinstanz hat das ihr zustehende Ermessen pflichtgemäss ausgeübt (vgl. 49 VwVG).</w:t>
      </w:r>
    </w:p>
    <w:p>
      <w:r>
        <w:rPr>
          <w:b/>
        </w:rPr>
        <w:t>E. 5.2</w:t>
      </w:r>
    </w:p>
    <w:p>
      <w:r>
        <w:t>Die Beschwerde ist somit abzuweisen und die Verfahrenskosten sind den Rekurrenten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