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C-8583/2007 vom 28. April 2008</w:t>
      </w:r>
    </w:p>
    <w:p>
      <w:r>
        <w:t>Bundesverwaltungsgericht, 2008-04-28, DE</w:t>
      </w:r>
    </w:p>
    <w:p>
      <w:r>
        <w:rPr>
          <w:b/>
        </w:rPr>
        <w:t xml:space="preserve">Quelle: </w:t>
      </w:r>
      <w:r>
        <w:t>https://mcp.opencaselaw.ch/entscheid/bvger_C-8583_2007</w:t>
      </w:r>
    </w:p>
    <w:p>
      <w:r>
        <w:t>FR: TAF C-8583/2007 du 28 avril 2008</w:t>
      </w:r>
    </w:p>
    <w:p>
      <w:r>
        <w:t>IT: TAF C-8583/2007 del 28 aprile 2008</w:t>
      </w:r>
    </w:p>
    <w:p>
      <w:pPr>
        <w:pStyle w:val="Heading2"/>
      </w:pPr>
      <w:r>
        <w:t>Regeste</w:t>
      </w:r>
    </w:p>
    <w:p>
      <w:r>
        <w:t>Bürgerrecht</w:t>
      </w:r>
    </w:p>
    <w:p>
      <w:pPr>
        <w:pStyle w:val="Heading2"/>
      </w:pPr>
      <w:r>
        <w:t>Erwägungen</w:t>
      </w:r>
    </w:p>
    <w:p>
      <w:r>
        <w:rPr>
          <w:b/>
        </w:rPr>
        <w:t>E. 1.1</w:t>
      </w:r>
    </w:p>
    <w:p>
      <w:r>
        <w:t>Verfügungen des BFM betreffend die Erteilung oder Verweigerung der eidgenössischen Einbürgerungsbewilligung unterliegen der Beschwerde an das Bundesverwaltungsgericht (Art. 51 Abs. 1 BüG i.V.m. Art. 31, Art. 32 und Art. 33 Bst. d des Verwaltungsgerichtsgesetzes vom 17. Juni 2005 [VGG, SR 173.21]).</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Der Beschwerdeführer ist als Adressat der Verfügung zur Beschwerdeführung legitimiert. Auf die frist- und formgerechte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3.1</w:t>
      </w:r>
    </w:p>
    <w:p>
      <w:r>
        <w:t>Durch Einbürgerung im ordentlichen Verfahren wird das Schweizer Bürgerrecht erworben mit der Einbürgerung in einem Kanton und einer Gemeinde (Art. 12 Abs. 1 BüG). Die Einbürgerung ist jedoch nur gültig, wenn eine Einbürgerungsbewilligung des zuständigen Bundesamtes vorliegt (Art. 12 Abs. 2 BüG).</w:t>
      </w:r>
    </w:p>
    <w:p>
      <w:r>
        <w:rPr>
          <w:b/>
        </w:rPr>
        <w:t>E. 3.2</w:t>
      </w:r>
    </w:p>
    <w:p>
      <w:r>
        <w:t>Im Rahmen des Verfahrens auf Erteilung der Einbürgerungsbewilligung prüft das Bundesamt, ob der Bewerber bestimmte Voraussetzungen materieller und formeller Natur erfüllt. Zu den letzteren gehören die Wohnsitzerfordernisse gemäss Art. 15 BüG. Danach kann ein Bewerber erst dann um Erteilung der Einbürgerungsbewilligung ersuchen, wenn er während insgesamt zwölf Jahren in der Schweiz gewohnt hat, wovon drei in den letzten fünf Jahren vor Einreichung des Gesuches (Abs. 1). Dabei wird die Zeit, die ein Bewerber zwischen seinem vollendeten 10. und 20. Lebensjahr in der Schweiz verbracht hat, doppelt gerechnet (Abs. 2). Erfüllt bei einem gemeinsamen Gesuch von Ehegatten der eine die genannten Voraussetzungen oder ist der eine Ehegatte bereits eingebürgert, so genügt für den anderen ein hiesiger Wohnsitz von ingesamt fünf Jahren, wovon ein Jahr unmittelbar vor der Gesuchsstellung; vorausgesetzt wird weiter, dass er seit drei Jahren in ehelicher Gemeinschaft mit dem anderen Gatten lebt (Abs. 3 und 4). Analoge Regelungen gelten für eingetragene Partnerschaften (Abs. 5 und 6).</w:t>
      </w:r>
    </w:p>
    <w:p>
      <w:r>
        <w:rPr>
          <w:b/>
        </w:rPr>
        <w:t>E. 4</w:t>
      </w:r>
    </w:p>
    <w:p>
      <w:r>
        <w:t>Im Gegensatz zur ordentlichen steht die erleichterte Einbürgerung. Sie wird vom Bundesamt verfügt und führt zum Erwerb des Schweizer Bürgerrechts einerseits und eines Kantons- und Gemeindebürgerrechts andererseits. Die erleichterte Einbürgerung ist u.a. bei ausländischen Ehegatten von Schweizer Bürgern vorgesehen. Formelle Voraussetzung für eine solche Einbürgerung ist, dass der ausländische Ehegatte insgesamt fünf Jahre in der Schweiz gewohnt hat, seit einem Jahr hier wohnt und seit drei Jahren in ehelicher Gemeinschaft mit dem Schweizer Bürger lebt (Art. 27 BüG). Im Falle der Ehe mit einem Auslandschweizer wird vorausgesetzt, dass die eheliche Gemeinschaft seit mindestens sechs Jahren besteht (Art. 28 Abs. 1 Bst. a BüG).</w:t>
      </w:r>
    </w:p>
    <w:p>
      <w:r>
        <w:rPr>
          <w:b/>
        </w:rPr>
        <w:t>E. 5</w:t>
      </w:r>
    </w:p>
    <w:p>
      <w:r>
        <w:t>Der Beschwerdeführer ist nicht mit einer Schweizerin verheiratet, sodass er das Bürgerrecht nur durch ordentliche Einbürgerung nach Art. 12 ff. BüG erwerben kann. Dafür ist die Erteilung der eidg. Einbürgerungsbewilligung unerlässlich (Art. 12 Abs. 2 BüG). Die formellen Voraussetzungen gemäss Art. 15 BüG erfüllt der Beschwerdeführer jedoch nicht. Er selbst lebt erst seit März 2002, d.h. seit sechs Jahren in der Schweiz und verfehlt damit die gemäss Art. 15 Abs.1 BüG geforderte Wohnsitzdauer von 12 Jahren bei Weitem. Seine Ehefrau würde zwar das Wohnsitzerfordernis auf den 1. März 2008 erfüllen. Da der Beschwerdeführer jedoch allein eingebürgert werden will, kann er keinen Nutzen aus der besonderen Regelung der gemeinsamen Einbürgerung von Ehegatten gemäss Art. 15 Abs. 3 BüG ziehen. Solange der Beschwerdeführer jedoch die Wohnsitzerfordernisse des Art. 15 BüG nicht erfüllt, ist er nicht legitimiert, ein Gesuch um Erteilung der eidg. Einbürgerungsbewilligung zu stellen.</w:t>
      </w:r>
    </w:p>
    <w:p>
      <w:r>
        <w:rPr>
          <w:b/>
        </w:rPr>
        <w:t>E. 6</w:t>
      </w:r>
    </w:p>
    <w:p>
      <w:r>
        <w:t>Die Einwände, die der Beschwerdeführer dagegen vorbringt, erweisen sich als unbegründet.</w:t>
      </w:r>
    </w:p>
    <w:p>
      <w:r>
        <w:rPr>
          <w:b/>
        </w:rPr>
        <w:t>E. 6.1</w:t>
      </w:r>
    </w:p>
    <w:p>
      <w:r>
        <w:t>Der Beschwerdeführer nimmt Bezug auf das Gesetz des Kantons Thurgau über das Kantons- und Gemeindebürgerrecht vom 14. August 1991 (RB 141.1) sowie die dazugehörende Ausführungsverordnung des Regierungsrates vom 8. Dezember 1992 (RB 142.11). Er zitiert wörtlich aus einer Reihe von Bestimmungen der genannten Erlasse, die seiner Meinung nicht beachtet worden seien. -:- -:- Die Argumentation des Beschwerdeführers scheitert bereits daran, dass die Rüge der Verletzung kantonalen Rechts im Rahmen des vorliegenden Verfahrens unzulässig ist (Art. 49 Bst. a VwVG e contrario, vgl. dazu u.a. Alfred Kölz/Isabelle Häner, Verwaltungsverfahren und Verwaltungsrechtspflege des Bundes, 2. Aufl., Zürich 1998, Rz. 621 f.). Materiell bleibt der Vollständigkeit halber festzustellen, dass der Beschwerdeführer die Tragweite des kantonalen Rechts auf dem Gebiet des Bürgerrechtswesens und sein Zusammenwirken mit der bundesrechtlichen Ordnung gründlich missverstanden hat. Weitere Ausführungen erübrigen sich.</w:t>
      </w:r>
    </w:p>
    <w:p>
      <w:r>
        <w:rPr>
          <w:b/>
        </w:rPr>
        <w:t>E. 6.2</w:t>
      </w:r>
    </w:p>
    <w:p>
      <w:r>
        <w:t>Der Beschwerdeführer nimmt weiter Bezug auf den Grundsatz der Nichtdiskriminierung gemäss Art. 2 des Abkommens vom 21. Juni 1999 zwischen der Schweizerischen Eidgenossenschaft einerseits und der Europäischen Gemeinschaft und ihren Mitgliedstaaten andererseits über die Freizügigkeit (nachfolgend: FZA oder Freizügigkeitsabkommen, SR 0.142.112.681), auf den er sich als Ehemann einer deutschen Staatsangehörigen glaubt berufen zu können. Auf dieser Grundlage beansprucht er für sich dieselbe privilegierte Behandlung, die das Bürgerrechtsgesetz für Ehegatten (Art. 27 und 28 BüG) und eingetragene Partner (Art. 15 Abs. 5 BüG) von Schweizer Bürgern vorsieht. Mit der Bezugnahme auf Art. 2 FZA übersieht der Beschwerdeführer, dass diese Bestimmung nur durch Staatsangehörige einer Vertragspartei des Freizügigkeitsabkommens angerufen werden kann, im vorliegenden Fall durch seine Ehefrau als deutsche Staatsangehörige. Da diese aber weder am Verfahren teilnimmt noch ein unmittelbares Interesse am Verfahrensausgang zeigt, ist dem Beschwerdeführer die Berufung auf Art. 2 FZA schon aus formellen Gründen verwehrt (vgl. Urteil des Bundesgerichts 2A.475/2004 vom 25. Mai 2005 E. 2.2 und 2A.7/2004 vom 2. August 2004 E. 5.2). Hauptsächlich aber verkennt der Beschwerdeführer die materielle Tragweite von Art. 2 FZA. Die Bestimmung enthält kein allgemeines, für alle Lebensbereiche geltendes Verbot unterschiedlicher Behandlung auf Grund der Staatsangehörigkeit. Das Verbot bezieht sich ausdrücklich auf die Anwendung des Freizügigkeitsabkommens gemäss den Anhängen I, II und III. Da der Erwerb der Staatsangehörigkeit eines Vertragsstaates nicht zu den Rechtsbereichen gehört, die das Freizügigkeitsabkommen mit seinen Anhängen regelt, kann letzteres einer Privilegierung von Ehegatten und eingetragenen Partnern von Schweizer Bürgern zum vornherein nicht entgegenstehen.</w:t>
      </w:r>
    </w:p>
    <w:p>
      <w:r>
        <w:rPr>
          <w:b/>
        </w:rPr>
        <w:t>E. 6.3</w:t>
      </w:r>
    </w:p>
    <w:p>
      <w:r>
        <w:t>Der Beschwerdeführer beruft sich schliesslich zu Unrecht auf das allgemeine Diskriminierungsverbot des Art. 8 Abs. 2 der Bundesverfassung der Schweizerischen Eidgenossenschaft vom 18. April 1999 (BV, SR 101). Er verkennt, dass die privilegierte Einbürgerung ausländischer Ehegatten von Schweizer Bürgern für das Bundesverwaltungsgericht verbindlich ist, weil gesetzlich vorgesehen (vgl. Art. 191 BV), nicht auf ein verpöntes Merkmal im Sinne von Art. 8 Abs. 2 BV anknüpft (vgl. BGE 132 I 49 E. 8 S. 65 f.) und sich offensichtlich auf sachliche Gründe stützen kann.</w:t>
      </w:r>
    </w:p>
    <w:p>
      <w:r>
        <w:rPr>
          <w:b/>
        </w:rPr>
        <w:t>E. 7</w:t>
      </w:r>
    </w:p>
    <w:p>
      <w:r>
        <w:t>Aus den vorstehenden Erwägungen ergibt sich, dass die Vorinstanz zu Recht auf das Gesuch des Beschwerdeführers um Erteilung einer eidg. Einbürgerungsbewilligung nicht eingetreten ist (Art. 49 VwVG). Die Beschwerde ist deshalb abzuweisen.</w:t>
      </w:r>
    </w:p>
    <w:p>
      <w:r>
        <w:rPr>
          <w:b/>
        </w:rPr>
        <w:t>E. 8</w:t>
      </w:r>
    </w:p>
    <w:p>
      <w:r>
        <w:t>Dem Ausgang des Verfahrens entsprechend wird der unterliegende Beschwerdeführer kostenpflichtig (Art. 63 Abs. 1 VwVG). Die Verfahrenskosten sind auf Fr. 800.-- festzusetzen (Art. 1, Art. 2 und Art. 3 Bst. b des Reglements vom 11. Dezember 2006 über die Kosten und Entschädigungen vor dem Bundesverwaltungsgericht [VGKE, SR 173.320.2]).</w:t>
      </w:r>
    </w:p>
    <w:p>
      <w:r>
        <w:rPr>
          <w:b/>
        </w:rPr>
        <w:t>E. 9</w:t>
      </w:r>
    </w:p>
    <w:p>
      <w:r>
        <w:t>Dieses Urteil ist endgültig (Art. 83 Bst. b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