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C-8582/2010 vom 27. Oktober 2011</w:t>
      </w:r>
    </w:p>
    <w:p>
      <w:r>
        <w:t>Bundesverwaltungsgericht, 2011-10-27, DE</w:t>
      </w:r>
    </w:p>
    <w:p>
      <w:r>
        <w:rPr>
          <w:b/>
        </w:rPr>
        <w:t xml:space="preserve">Quelle: </w:t>
      </w:r>
      <w:r>
        <w:t>https://mcp.opencaselaw.ch/entscheid/bvger_C-8582_2010</w:t>
      </w:r>
    </w:p>
    <w:p>
      <w:r>
        <w:t>FR: TAF C-8582/2010 du 27 octobre 2011</w:t>
      </w:r>
    </w:p>
    <w:p>
      <w:r>
        <w:t>IT: TAF C-8582/2010 del 27 ottobre 2011</w:t>
      </w:r>
    </w:p>
    <w:p>
      <w:pPr>
        <w:pStyle w:val="Heading2"/>
      </w:pPr>
      <w:r>
        <w:t>Regeste</w:t>
      </w:r>
    </w:p>
    <w:p>
      <w:r>
        <w:t>Mindestbeitragsdauer</w:t>
      </w:r>
    </w:p>
    <w:p>
      <w:pPr>
        <w:pStyle w:val="Heading2"/>
      </w:pPr>
      <w:r>
        <w:t>Erwägungen</w:t>
      </w:r>
    </w:p>
    <w:p>
      <w:r>
        <w:rPr>
          <w:b/>
        </w:rPr>
        <w:t>E. 3</w:t>
      </w:r>
    </w:p>
    <w:p>
      <w:r>
        <w:t>Vorliegend ist strittig und vom Bundesverwaltungsgericht zu prüfen, ob die SAK bei der Ermittlung der Beitragsdauer des Beschwerdeführers zu Recht nur von einer Beitagszeit von März bis Dezember 1971 ausgegangen ist und ihm daher keine Rente zugesprochen hat.</w:t>
      </w:r>
    </w:p>
    <w:p>
      <w:r>
        <w:rPr>
          <w:b/>
        </w:rPr>
        <w:t>E. 3.1.1</w:t>
      </w:r>
    </w:p>
    <w:p>
      <w:r>
        <w:t>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3.1.2</w:t>
      </w:r>
    </w:p>
    <w:p>
      <w:r>
        <w:t>Für jeden beitragspflichtigen Versicherten werden individuelle Kon­ten geführt, in welche die für die Berechnung der ordentlichen Ren­ten erforderlichen Angaben eingetragen werden. Der Bundesrat re­gelt die Einzelheiten (Art. 30ter Abs. 1 AHVG). Gemäss Art. 138 Abs. 1 AHVV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3.1.3</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Erw. 3b und 3d).</w:t>
      </w:r>
    </w:p>
    <w:p>
      <w:r>
        <w:rPr>
          <w:b/>
        </w:rPr>
        <w:t>E. 3.1.4</w:t>
      </w:r>
    </w:p>
    <w:p>
      <w:r>
        <w:t>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w:t>
      </w:r>
    </w:p>
    <w:p>
      <w:r>
        <w:rPr>
          <w:b/>
        </w:rPr>
        <w:t>E. 3.2</w:t>
      </w:r>
    </w:p>
    <w:p>
      <w:r>
        <w:t>Der Beschwerdeführer macht vorliegend geltend, er habe während zweieinhalb Jahren bei A._______ in B._______ und anschliessend noch ein Jahr bei C._______ in D._______ gearbeitet. Belege wie beispielsweise einen Arbeitsvertrag, ein Arbeitszeugnis, Lohnabrechnungen oder einen Lohnausweis hat der Beschwerdeführer nicht eingereicht.</w:t>
      </w:r>
    </w:p>
    <w:p>
      <w:r>
        <w:rPr>
          <w:b/>
        </w:rPr>
        <w:t>E. 3.3</w:t>
      </w:r>
    </w:p>
    <w:p>
      <w:r>
        <w:t>Die SAK führte demgegenüber aus, trotz verschiedener Nachforschungen sei es nicht möglich gewesen, für die behaupteten Beitragszeiten Belege zu finden. Eine Korrektur des individuellen Kontos sei daher nicht möglich.</w:t>
      </w:r>
    </w:p>
    <w:p>
      <w:r>
        <w:rPr>
          <w:b/>
        </w:rPr>
        <w:t>E. 3.4</w:t>
      </w:r>
    </w:p>
    <w:p>
      <w:r>
        <w:t>Wie erwähnt ist für die Korrektur eines individuellen Kontos erforderlich, dass der behauptete Sachverhalt nachgewiesen ist, sofern die Unrichtigkeit nicht offenkundig ist. In casu ist die Unrichtigkeit des individuellen Kontos nicht offenkundig, weshalb der Eintrag nur durch den Nachweis eines anderen Sachverhaltes korrigiert werden kann. Trotz Nachfrage der SAK bei der Ausgleichskasse Solothurn (vgl. SAK-act. 62 und 73), beim ehemaligen Arbeitgeber A._______(vgl. SAK-act. 60) und mehrmaliger Nachfrage beim Beschwerdeführer (vgl. SAK-act. 50 f. und 54) konnten mit Hilfe der spärlichen Angaben des Beschwerdeführers keine weiteren Belege ausfindig gemacht werden. Der SAK ist somit nicht vorzuwerfen, sie hätte den Sachverhalt nicht genügend abgeklärt, ist sie doch allen vom Beschwerdeführer gelieferten Hinweisen nachgegangen. Zusammenfassend ist somit festzuhalten, dass die SAK dem Beschwerdeführer zu Recht nur eine Beitragszeit von 10 Monaten angerechnet hat, da für weitere Beitragszeiten keine Belege beigebracht werden konnten und deshalb auf den nicht widerlegten Eintrag im individuellen Konto abzustellen ist. Die Beschwerde ist somit im einzelrichterlichen Verfahren gemäss Art. 23 Abs. 2 VGG in Verbindung mit Art. 85bis Abs. 3 AHVG abzuweisen und der angefochtene Einspracheentscheid zu bestätigen.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