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C-8563/2007 vom 10. Dezember 2008</w:t>
      </w:r>
    </w:p>
    <w:p>
      <w:r>
        <w:t>Bundesverwaltungsgericht, 2008-12-10, DE</w:t>
      </w:r>
    </w:p>
    <w:p>
      <w:r>
        <w:rPr>
          <w:b/>
        </w:rPr>
        <w:t xml:space="preserve">Quelle: </w:t>
      </w:r>
      <w:r>
        <w:t>https://mcp.opencaselaw.ch/entscheid/bvger_C-8563_2007</w:t>
      </w:r>
    </w:p>
    <w:p>
      <w:r>
        <w:t>FR: TAF C-8563/2007 du 10 décembre 2008</w:t>
      </w:r>
    </w:p>
    <w:p>
      <w:r>
        <w:t>IT: TAF C-8563/2007 del 10 dicembre 2008</w:t>
      </w:r>
    </w:p>
    <w:p>
      <w:pPr>
        <w:pStyle w:val="Heading2"/>
      </w:pPr>
      <w:r>
        <w:t>Regeste</w:t>
      </w:r>
    </w:p>
    <w:p>
      <w:r>
        <w:t>Einreise</w:t>
      </w:r>
    </w:p>
    <w:p>
      <w:pPr>
        <w:pStyle w:val="Heading2"/>
      </w:pPr>
      <w:r>
        <w:t>Erwägungen</w:t>
      </w:r>
    </w:p>
    <w:p>
      <w:r>
        <w:rPr>
          <w:b/>
        </w:rPr>
        <w:t>E. 1.1</w:t>
      </w:r>
    </w:p>
    <w:p>
      <w:r>
        <w:t>Verfügungen des Bundesamtes für Migration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In der vorliegend zu beurteilenden Streitsache ist das Urteil des Bundesverwaltungsgerichts endgültig (Art. 1 Abs. 2 VGG i.V.m. Art. 83 Bst. c Ziff. 1 des Bundesgerichtsgesetzes vom 17. Juni 2005 [BGG, SR 173.110]).</w:t>
      </w:r>
    </w:p>
    <w:p>
      <w:r>
        <w:rPr>
          <w:b/>
        </w:rPr>
        <w:t>E. 1.3</w:t>
      </w:r>
    </w:p>
    <w:p>
      <w:r>
        <w:t>Der Beschwerdeführer ist zur Beschwerde legitimiert (Art. 48 Abs. 1 VwVG). Auf die frist- und formgerecht eingereichte Beschwerde ist einzutreten (Art. 50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Inkraftreten des AuG eingereicht worden sind, das bisherige Recht anwendbar. Die Beurteilung erfolgt somit noch nach dem alten Recht. Einschlägig sind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w:t>
      </w:r>
    </w:p>
    <w:p>
      <w:r>
        <w:rPr>
          <w:b/>
        </w:rPr>
        <w:t>E. 3.1</w:t>
      </w:r>
    </w:p>
    <w:p>
      <w:r>
        <w:t>Die Schweizerische Rechtsordnung gewährt grundsätzlich keinen Anspruch auf Bewilligung der Einreise. Der Entscheid darüber ist von der Bewilligungsbehörde in pflichtgemässer Ausübung ihres Ermessens zu fällen (Art. 4 und Art. 16 Abs. 1 ANAG, Art. 9 Abs. 1 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 Die Zuständigkeit des BFM zur Visumerteilung ergibt sich aus Art. 18 Abs. 1 VEA.</w:t>
      </w:r>
    </w:p>
    <w:p>
      <w:r>
        <w:rPr>
          <w:b/>
        </w:rPr>
        <w:t>E. 4.1</w:t>
      </w:r>
    </w:p>
    <w:p>
      <w:r>
        <w:t>Der Gesuchsteller benötigt aufgrund seiner Nationalität zur Einreise in die Schweiz nebst dem Pass ein Visum. Die Vorinstanz verweigerte die Erteilung eines solchen Visums mit der Begründung, die anstandslose und fristgerechte Wiederausreise erscheine nicht als hinreichend gesichert.</w:t>
      </w:r>
    </w:p>
    <w:p>
      <w:r>
        <w:rPr>
          <w:b/>
        </w:rPr>
        <w:t>E. 4.2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Die parlamentarische Versammlung hat am 17. Februar 2008 die Unabhängigkeit des Kosovo erklärt. Am 27. Februar 2008 anerkannte die Schweiz den Kosovo als selbständigen Staat. Auf die wirtschaftliche und soziale Lage, in der sich die Bevölkerung befindet, dürfte der Schritt in die politische Unabhängigkeit allerdings nach Einschätzung von Fachleuten kurz- und mittelfristig keine spürbaren Auswirkungen haben. Tatsache ist, dass es bisher trotz grosser internationaler Unterstützung nicht gelungen ist, eine Wachstumsdynamik im Kosovo einzuleiten; es herrscht wirtschaftliche Stagnation und die Arbeitslosigkeit bleibt hartnäckig hoch. So sind mehr als die Hälfte der Erwerbsfähigen ohne oder zumindest ohne regelmässiges Einkommen. Gemäss World Bank Brief lag der Armutsanteil der Bevölkerung im Kosovo im Jahr 2005 bei 37% (mit steigender Tendenz). Der Zuwanderungsdruck aus dieser Region ist dementsprechend hoch, was sich unter anderem in der schweizerischen Asylstatistik widerspiegelt. So stammten im Jahr 2007 9,2% der Asylsuchenden aus dem Gebiet von Serbien und Kosovo; diese Region stand damit in der Statistik der Asylgesuche nach Nationen an zweiter Stelle. Die diesbezügliche Situation hat sich seither nur marginal verändert; laut der letzten Asylstatistik vom 6. Oktober 2008 wurden von Januar bis September 2008 8,8% der Asylgesuche von Staatsangehörigen aus Serbien und dem Kosovo eingereicht, was für das laufende Jahr Rang 4 und für das 3. Quartal 2008 - mit einer Zunahme von 60,7% im Vergleich zum Vorquartal - Rang 3 der Herkunftsländer von Asylsuchenden ergibt. Unter den Migrationswilligen gilt vor allem Westeuropa und damit auch die Schweiz als Wunschdestination. Der Trend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5.1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5.2</w:t>
      </w:r>
    </w:p>
    <w:p>
      <w:r>
        <w:t>Beim Gesuchsteller handelt es sich um einen 22-jährigen, ledigen Mann. Über seine persönliche Situation ist nur gerade bekannt, dass er in familiärer Gemeinschaft mit seinen Eltern und drei jüngeren Geschwistern lebt (gemäss persönlicher Erklärung vom 8. Oktober 2007). Damit hat der Gesuchsteller zwar familiäre Bindungen vor Ort. Eigentliche familiäre oder persönliche Verpflichtungen, welche die Prognose einer fristgerechten Wiedersausreise nach einem Besuchsaufenthalt begünstigen könnten, sind daraus aber nicht abzuleiten und ergeben sich auch sonst nicht aus den Akten.</w:t>
      </w:r>
    </w:p>
    <w:p>
      <w:r>
        <w:rPr>
          <w:b/>
        </w:rPr>
        <w:t>E. 5.3</w:t>
      </w:r>
    </w:p>
    <w:p>
      <w:r>
        <w:t>Der Gesuchsteller geht keiner Erwerbstätigkeit nach; er hat sich selbst als arbeitslos bezeichnet. Darüber hinaus ist auch nicht bekannt, wie er seinen Lebensunterhalt bestreitet und in welchen wirtschaftlichen Verhältnissen er und seine Familienangehörigen leben. Demnach sind bei ihm auch in beruflicher und wirtschaftlicher Hinsicht keine Umstände erkennbar, die von einer Emigration abhalten könnten.</w:t>
      </w:r>
    </w:p>
    <w:p>
      <w:r>
        <w:rPr>
          <w:b/>
        </w:rPr>
        <w:t>E. 5.4</w:t>
      </w:r>
    </w:p>
    <w:p>
      <w:r>
        <w:t>Vor dem aufgezeigten persönlichen und allgemeinen Hintergrund durfte die Vorinstanz demnach davon ausgehen, dass keine hinreichende Gewähr für eine fristgerechte und anstandslose Wiederausreise des Gesuchstellers nach einem Besuchsaufenthalt besteht. An dieser Beurteilung vermögen die Zusicherungen des Beschwerdeführers im Gesuchsverfahren und in der Beschwerde nichts zu ändern. Diese sind rechtlich nicht verbindlich und faktisch auch nicht durchsetzbar. Als Gastgeber kann der Beschwerdeführer zwar für gewisse finanzielle Risiken im Zusammenhang mit dem Besuchsaufenthalt, aus nahe liegenden Gründen aber nicht für ein bestimmtes Verhalten seines Gastes garantieren (anstelle vieler vgl. Urteil des Bundesverwaltungsgerichts C-3243/2007 vom 10. Juni 2008 E. 5.5).</w:t>
      </w:r>
    </w:p>
    <w:p>
      <w:r>
        <w:rPr>
          <w:b/>
        </w:rPr>
        <w:t>E. 6</w:t>
      </w:r>
    </w:p>
    <w:p>
      <w:r>
        <w:t>Aus vorstehenden Erwägungen folgt, dass die angefochtene Verfügung im Lichte von Art. 49 VwVG nicht zu beanstanden ist. Die Beschwerde ist daher abzuweisen.</w:t>
      </w:r>
    </w:p>
    <w:p>
      <w:r>
        <w:rPr>
          <w:b/>
        </w:rPr>
        <w:t>E. 7</w:t>
      </w:r>
    </w:p>
    <w:p>
      <w:r>
        <w:t>Entsprechend dem Verfahrensausgang wird der unterliegende Beschwerdeführer kostenpflichtig (Art. 63 Abs. 1 VwVG,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