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C-8562/2010 vom 11. Oktober 2012</w:t>
      </w:r>
    </w:p>
    <w:p>
      <w:r>
        <w:t>Bundesverwaltungsgericht, 2012-10-11, DE</w:t>
      </w:r>
    </w:p>
    <w:p>
      <w:r>
        <w:rPr>
          <w:b/>
        </w:rPr>
        <w:t xml:space="preserve">Quelle: </w:t>
      </w:r>
      <w:r>
        <w:t>https://mcp.opencaselaw.ch/entscheid/bvger_C-8562_2010</w:t>
      </w:r>
    </w:p>
    <w:p>
      <w:r>
        <w:t>FR: TAF C-8562/2010 du 11 octobre 2012</w:t>
      </w:r>
    </w:p>
    <w:p>
      <w:r>
        <w:t>IT: TAF C-8562/2010 del 11 ottobre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Das Bundesverwaltungsgericht hat die während des Rechtsmittelverfahrens gestellten Beweisanträge (Einvernahme von C._______ und D._______ sowie von B._______ als Zeuginnen bzw. Zeugen, persönliche Anhörung des Beschwerdeführers) mit Zwischenverfügung vom 20. Dezember 2010 abgewiesen. Der Beschwerdeführer erhielt indes Gelegenheit, schriftliche Äusserungen besagter Personen zu den aufgeworfenen Fragen nachzureichen, was teilweise geschah. Auch er selber hat sich mehrfach schriftlich zu den strittigen Fragen äussern können (zur antizipierten Beweiswürdigung vgl. Art. 33 Abs. 1 VwVG und BGE 136 I 229 E. 5.3 S. 236 f. mit Hinweisen; zur Subsidiarität der Zeugeneinvernahme: BGE 130 II 169 E. 2.3.3 S. 173 mit Hinweisen, Urteil des Bundesgerichts 1C_292/2010 vom 5. August 2010 E. 3.2; zum fehlenden Anspruch auf eine mündliche Anhörung: BGE 134 I 140 E. 5.3 S. 148). Der entscheidswesentliche Sachverhalt erschliesst sich denn, wie nachfolgend aufzuzeigen sein wird, in genügender Weise aus den Akten.</w:t>
      </w:r>
    </w:p>
    <w:p>
      <w:r>
        <w:rPr>
          <w:b/>
        </w:rPr>
        <w:t>E. 4</w:t>
      </w:r>
    </w:p>
    <w:p>
      <w:r>
        <w:t>In formeller Hinsicht rügt der Beschwerdeführer eine Verletzung seines Anspruchs auf rechtliches Gehör, da er vor der Verhängung der Fernhaltemassnahme nicht angehört worden sei (siehe Rechtsmitteleingabe vom 13. Dezember 2010) bzw. weil er sich nicht gegenüber der verfügenden Behörde habe äussern können (vgl. Replik vom 2. Mai 2011). Ausserdem sei das BFM seiner Begründungspflicht nicht nachgekommen.</w:t>
      </w:r>
    </w:p>
    <w:p>
      <w:r>
        <w:rPr>
          <w:b/>
        </w:rPr>
        <w:t>E. 4.1</w:t>
      </w:r>
    </w:p>
    <w:p>
      <w:r>
        <w:t>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aus der Literatur etwa Ulrich Häfelin/Georg Müller/Felix Uhlmann, Allgemeines Verwaltungsrecht, 6. Aufl., Zürich/St. Gallen 2010, Rz. 1680 ff.; Alfred Kölz/Isabelle Häner, Verwaltungsverfahren und Verwaltungsrechtspflege des Bundes, 2. Aufl., Zürich 1998, S. 46, 107 ff.; Markus Schefer, Grundrechte in der Schweiz, Bern 2005, S. 285 ff.). Dazu gehört das Recht auf vorgängige Äusserung und Anhörung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4.2</w:t>
      </w:r>
    </w:p>
    <w:p>
      <w:r>
        <w:t>Ebenfalls Teilgehalt des Anspruchs auf rechtliches Gehör im Sinne von Art. 29 Abs. 2 BV ist die Begründungspflicht. Gemäss Art. 35 Abs. 1 VwVG sind die Behörden verpflichtet, schriftli­che Verfügungen zu begründen.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BVGE 2007/27 E. 5.5.2 und BGE 133 I 270 E. 3.1 S. 277 je mit Hinweisen, sowie Felix Uhlmann/Alexandra Schwank, in: Waldmann/Weissenberger [Hrsg.], Praxiskommentar VwVG, Zürich 2009, N 17 ff. zu Art. 35; ebenso Lorenz Kneubühler, in: Auer/Müller/Schindler [Hrsg.], Kommentar zum Bundesgesetz über das Verwaltungsverfahren [VwVG], Zürich/St. Gallen 2008, Rz. 4 ff. zu Art. 35 mit Hinweisen).</w:t>
      </w:r>
    </w:p>
    <w:p>
      <w:r>
        <w:rPr>
          <w:b/>
        </w:rPr>
        <w:t>E. 4.3</w:t>
      </w:r>
    </w:p>
    <w:p>
      <w:r>
        <w:t>Aus den Akten geht hervor, dass die Migrationsbehörde des Kantons Uri dem Beschwerdeführer bzw. dessen Rechtsvertreter mit Schreiben vom 23. September 2010 unter eingehender Schilderung des Sachverhalts die Verweigerung der Einreise- und Aufenthaltsbewilligung sowie die Prüfung von Fernhaltemassnahmen signalisierte und ihm dazu das rechtliche Gehör gewährte. Von dieser Möglichkeit hat er keinen Gebrauch gemacht. Dass dem Beschwerdeführer das rechtliche Gehör nicht durch die verfügende Behörde selbst gewährt wurde, ist nicht von Belang (zum Ganzen vgl. Urteil des Bundesverwaltungsgerichts C-5193/2011 vom 10. August 2012 E. 3.3 und 3.4). Abgesehen davon besteht hier ein enger zeitlicher Zusammenhang zwischen Gehörsgewährung und Verfügungserlass. Sein Gehörsanspruch wurde somit durch das beschriebene Vorgehen der Behörden ohne weiteres gewahrt.</w:t>
      </w:r>
    </w:p>
    <w:p>
      <w:r>
        <w:rPr>
          <w:b/>
        </w:rPr>
        <w:t>E. 4.4</w:t>
      </w:r>
    </w:p>
    <w:p>
      <w:r>
        <w:t>Hinsichtlich der Verletzung der Begründungspflicht lässt sich festhalten, dass die angefochtene Verfügung zwar knapp, aber konzis begründet worden ist. Zumindest im Kontext des obgenannten Schreibens vom 23. September 2010 betreffend Gehörsgewährung, welches eine Darlegung der massgeblichen Aspekte beinhaltet, erweist sich die Begründungsdichte als hinreichend. Dem Beschwerdeführer war eine sachgerechte Anfechtung denn offenkundig auch möglich. Die Rüge der Verletzung des Gehörsanspruchs erweist sich damit als unbegründet.</w:t>
      </w:r>
    </w:p>
    <w:p>
      <w:r>
        <w:rPr>
          <w:b/>
        </w:rPr>
        <w:t>E. 5.1</w:t>
      </w:r>
    </w:p>
    <w:p>
      <w:r>
        <w:t>Auf den 1. Januar 2011 trat als Folge der Weiterentwicklung des Schengen-Besitzstandes eine neue Fassung des das Einreiseverbot regelnden Art. 67 AuG in Kraft (zum Ganzen vgl. BBl 2009 8881 und AS 2010 5925 sowie beispielsweise Urteil des Bundesverwaltungsgerichts C 2316/2010 vom 20. Dezember 2011 E. 3.2 am Anfang). Übergangsbestimmungen wurden keine erlassen. Diese Rechtsänderung ist allerdings im Falle des Beschwer­deführers nicht von Relevanz, denn der zuvor in Art. 67 Abs. 1 AuG geregelte Fernhaltegrund des Verstosses gegen die öffentliche Sicher­heit und Ordnung wurde unverändert in Abs. 2 der neuen Norm über­nommen. Betroffen ist der Beschwerdeführer auch nicht von der Neuformulierung in Art. 67 Abs. 3 AuG, steht doch kein Einreiseverbot von mehr als fünf Jahren zur Diskussion. Der Anwendung des neuen Rechts - auf das nachfolgend der Einfachheit halber allein Bezug genom­men wird - steht somit nichts entgegen.</w:t>
      </w:r>
    </w:p>
    <w:p>
      <w:r>
        <w:rPr>
          <w:b/>
        </w:rPr>
        <w:t>E. 5.2</w:t>
      </w:r>
    </w:p>
    <w:p>
      <w:r>
        <w:t>Nach Art. 67 Abs. 2 AuG kann ein Einreiseverbot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Die verfügende Behörde kann nach Art. 67 Abs. 5 AuG aus humanitären oder anderen wichtigen Gründen von der Verhängung eines Einreiseverbots absehen oder ein Einreiseverbot vollständig oder vor­übergehend aufheben. Mit dem Bundesbeschluss über die Genehmigung und die Umset­zung des Notenaustauschs zwischen der Schweiz und der EG betreffend die Übernahme der EG-Rückführungsrichtlinie (Richtlinie 2008/115/EG) vom 18. Juni 2010 (AS 2010 5925) wurde Art. 67 AuG mit Wirkung per 1. Januar 2011 revidiert, ohne dass Übergangsbestimmungen erlassen wor­den wären. Diese Rechtsänderung ist allerdings im Falle des Beschwer­deführers nicht von Relevanz. Denn der zuvor in Art. 67 Abs. 1 AuG geregelte Fernhaltegrund des Verstosses gegen die öffentliche Sicher­heit und Ordnung wurde unverändert in Abs. 2 der neuen Norm über­nommen. Betroffen ist der Beschwerdeführer auch nicht von der Neu­formulierung in Art. 67 Abs. 3 AuG, steht doch kein Einreiseverbot von mehr als fünf Jahren zur Diskussion. Der Anwendung des neuen Rechts - auf das nachfolgend der Einfachheit halber allein Bezug genom­men wird - steht somit nichts entgegen.</w:t>
      </w:r>
    </w:p>
    <w:p>
      <w:r>
        <w:rPr>
          <w:b/>
        </w:rPr>
        <w:t>E. 5.3</w:t>
      </w:r>
    </w:p>
    <w:p>
      <w:r>
        <w:t>Das Einreiseverbot stellt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etwa dann vor, wenn gesetzliche Vorschriften oder behördliche Verfügungen missachtet werden. Unter diese Begriffsbestimmung fallen nicht zuletzt Widerhandlungen gegen Normen des Ausländerrechts. Somit können die dem Beschwerdeführer vorgeworfenen Rechtsgüterverletzungen als Teil der objektiven Rechtsordnung ein Einreiseverbot nach sich ziehen, allerdings nicht als Sanktion, sondern als Massnahme zum Schutz künftiger Störungen (vgl. BBl 2002 3813).</w:t>
      </w:r>
    </w:p>
    <w:p>
      <w:r>
        <w:rPr>
          <w:b/>
        </w:rPr>
        <w:t>E. 5.4</w:t>
      </w:r>
    </w:p>
    <w:p>
      <w:r>
        <w:t>Was Verstösse gegen ausländerrechtliche Bestimmungen anbelangt, so ist für die Verhängung eines Einreiseverbots kein vorsätzliches Vorgehen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Bundesverwaltungsgerichts C 2206/2010 vom 2. Dezember 2011 E. 4.3 mit Hinweis).</w:t>
      </w:r>
    </w:p>
    <w:p>
      <w:r>
        <w:rPr>
          <w:b/>
        </w:rPr>
        <w:t>E. 5.5</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 Ziff. 4 i.V.m. 25 Abs. 1 Bst. a [ii] der Verordnung [EG] Nr. 810/2009 des Europäi­schen Parlaments und des Rates vom 13. Juli 2009 über einen Visakodex der Gemeinschaft [Visakodex], Abl. L 243 vom 15. September 2009).</w:t>
      </w:r>
    </w:p>
    <w:p>
      <w:r>
        <w:rPr>
          <w:b/>
        </w:rPr>
        <w:t>E. 5.6</w:t>
      </w:r>
    </w:p>
    <w:p>
      <w:r>
        <w:t>Der Beschwerdeführer ist nicht mehr mit einer österreichischen Staatsangehörigen verheiratet (siehe Sachverhalt Bst. J vorstehend). Das Abkommen vom 21. Juni 1999 zwischen der Schweizerischen Eidgenossenschaft einerseits und der Europäischen Gemeinschaft und ihren Mitgliedstaaten andererseits über die Freizügigkeit (Freizügigkeitsabkommen [FZA], SR 0.142.112.681) gelangt in seinem Fall mithin nicht zur Anwendung.</w:t>
      </w:r>
    </w:p>
    <w:p>
      <w:r>
        <w:rPr>
          <w:b/>
        </w:rPr>
        <w:t>E. 6</w:t>
      </w:r>
    </w:p>
    <w:p>
      <w:r>
        <w:t>Dem Beschwerdeführer werden in der angefochtenen Verfügung verschiedene Widerhandlungen gegen das AuG vorgeworfen.</w:t>
      </w:r>
    </w:p>
    <w:p>
      <w:r>
        <w:rPr>
          <w:b/>
        </w:rPr>
        <w:t>E. 6.1</w:t>
      </w:r>
    </w:p>
    <w:p>
      <w:r>
        <w:t>Gemäss Art. 5 AuG benötigt eine ausländische Person für die Einreise in die Schweiz ein anerkanntes Ausweispapier und ein Visum, es sei denn, sie gehöre einer von diesen Verpflichtungen befreiten Personengruppe an. Aufgrund seiner Staatsangehörigkeit (Kosovo) unterliegt der Beschwerdeführer der Visumspflicht. Was der Hinweis des Parteivertreters auf die Befreiung von der Visumsplicht für serbische Staatsangehörige soll, die im Besitze eines biometrischen Passes sind, bleibt von daher unerfindlich. Den Akten der Migrationsbehörde des Kantons Uri lässt sich entnehmen, dass der Betroffene im Januar 2008 mit einem griechischen Schengen-Touristenvisum für zwei Wochen in die Schweiz einreiste. Weitere Einreisen erfolgten - nunmehr mit einem slowenischen Aufenthaltstitel für Drittstaatsangehörige - im April 2008 (zwei Wochen), im Juni 2008 (zwei Wochen) sowie im September (für einen Geburtstag) und im Dezember (zweieinhalb Wochen über die Feiertage) jenes Jahres. Zu den Daten im Einzelnen genügt der Verweis auf die Befragung von B._______ vom 5. November 2009 und diejenige des Beschwerdeführers vom 24. März 2010. Weil das Schengen-Abkommen für die Schweiz erst am 12. Dezember 2008 in Kraft trat und es somit erst von jenem Datum an möglich war, mit einem sogenannten "einheitlichen Visum" (Schengen-Visum) legal in die Schweiz als Teil des Schengenraumes zu gelangen, sind die fraglichen Einreisen illegal gewesen. Mit den rechtswidrigen Einreisen erweisen sich auch die anschliessenden Aufenthalte als illegal (vgl. etwa Urteile des Bundesverwaltungsgerichts C-4639/2010 vom 15. Februar 2011 E. 6.1 oder C-7739/2008 vom 12. Mai 2010 E. 4.4). Zudem weilte der Beschwerdeführer in der Zeitspanne von Dezember 2008 bis Juli 2009 mit insgesamt dreieinhalb Monaten rund zwei Wochen zu lange im Lande, darf sich doch selbst eine Person, welche im Besitze eines Schengen-Visums ist, höchstens drei Monate pro Halbjahr im Schengenraum aufhalten (vgl. hierzu beispielsweise Urteil des Bundesverwaltungsgerichts C-2771/2010 vom 3. Februar 2012 E. 5.1).</w:t>
      </w:r>
    </w:p>
    <w:p>
      <w:r>
        <w:rPr>
          <w:b/>
        </w:rPr>
        <w:t>E. 6.2</w:t>
      </w:r>
    </w:p>
    <w:p>
      <w:r>
        <w:t>In diesem Zusammenhang rügt der Parteivertreter, sein Mandant sei gutgläubig in die Schweiz eingereist und die vorinstanzlichen Vorwürfe beruhten nicht auf abgeurteilten Straftaten. Ob der Beschwerdeführer in Unkenntnis der geltenden Einreisebestimmungen für den Schengenraum handelte, ist für die Verhängung eines Einreiseverbot allerdings unerheblich, weil ein vorsätzlicher Verstossen gegen ausländerrechtliche Normen, wie schon dargetan (siehe E. 5.4 hiervor), dafür nicht erforderlich ist. Ebenso wenig bedarf es eines Strafurteils. Das Einreiseverbot knüpft nämlich nicht an die Erfüllung einer Strafnorm, sondern an das Vorliegen einer Polizeigefahr an. Ob eine solche besteht und wie sie zu gewichten ist, hat die Verwaltungsbehörde in eigener Kompetenz unter Zugrundelegung spezifisch ausländerrechtlicher Kriterien zu beurteilen. Entsprechend kann ein Einreiseverbot auch dann ergehen, wenn ein rechtskräftiges Strafurteil fehlt, sei es, weil ein Strafverfahren nicht eröffnet wurde oder noch hängig ist (vgl. Urteil des Bundesverwaltungsgerichts C-7110/2010 vom 20. Januar 2012 E. 7.1 mit Hinweisen). Eine solche Konstellation ist hier, was die eben erläuterten Verhaltensweisen des Beschwerdeführers anbelangt, gegeben. Mit Blick auf seine Einreisen als Asylsuchender in den Jahren 1994 und 1998 und den Vorwürfen der Angabe von falschen Personalien im Asylverfahren sowie der Abgabe eines gefälschten Dokuments liegen die fraglichen Vorkommnisse zeitlich hingegen viel zu weit zurück, als dass sie zur Begründung der vorliegenden Fernhaltemassnahme noch herangezogen werden könnten.</w:t>
      </w:r>
    </w:p>
    <w:p>
      <w:r>
        <w:rPr>
          <w:b/>
        </w:rPr>
        <w:t>E. 6.3</w:t>
      </w:r>
    </w:p>
    <w:p>
      <w:r>
        <w:t>Dessen ungeachtet bleibt festzuhalten, dass der Beschwerdeführer in den Jahren 2008 und 2009 mehrere Male illegal in die Schweiz eingereist ist, er sich während dieser Zeit rechtwidrig hierzulande bzw. im Schengenraum aufgehalten und damit gegen ausländerrechtliche Vorschriften verstossen hat. Sein Fehlverhalten rechtfertigt insoweit grundsätzlich ein Einreiseverbot gemäss Art. 67 Abs. 2 Bst. a AuG.</w:t>
      </w:r>
    </w:p>
    <w:p>
      <w:r>
        <w:rPr>
          <w:b/>
        </w:rPr>
        <w:t>E. 6.4</w:t>
      </w:r>
    </w:p>
    <w:p>
      <w:r>
        <w:t>Ebenfalls bestritten ist der weitere Vorwurf des konkreten Verdachts des Eingehens einer Scheinehe. Von einer Scheinehe wird gesprochen, wenn die Ehegatten von vornherein keine echte eheliche Gemeinschaft beabsichtigen, sondern die Ehe dazu benützen, um ein zweckfremdes Ziel - beispielsweise die Umgehung ausländerrechtlicher Vorschriften - zu erreichen. Erfasst wird aber auch das rechtsmissbräuchliche Festhalten an einer Ehe, d.h. wenn sich eine ausländische Person in Aufenthaltsverfahren auf eine Ehe beruft, welche nur noch formell und ohne Aussicht auf Wiederaufnahme der ehelichen Beziehung besteht (vgl. BGE 130 II 113 E. 4.2 S. 117 und BGE 128 II 145 E. 2.1 S. 151, je mit Hinweisen). Unter dem Titel "Täuschung der Behörden" ist das Eingehen einer Scheinehe heute als Straftatbestand im AuG geregelt (siehe Art. 118 Abs. 2 AuG). Nach bundesverwaltungsgerichtlicher Rechtsprechung vermag auch dies ohne weiteres den Erlass einer Fernhaltemassnahme zu begründen (vgl. etwa Urteil des Bundesverwaltungsgerichts C-3369/2010 vom 29. Juni 2011 E. 5.3 mit Hinweis).</w:t>
      </w:r>
    </w:p>
    <w:p>
      <w:r>
        <w:rPr>
          <w:b/>
        </w:rPr>
        <w:t>E. 6.5</w:t>
      </w:r>
    </w:p>
    <w:p>
      <w:r>
        <w:t>Dass Ehegatten mit der Heirat nicht eine eheliche Lebensgemeinschaft begründen, sondern vornehmlich die Vorschriften über die Zulassung und den Aufenthalt von Ausländerinnen und Ausländern umgehen wollen, entzieht sich in den allermeisten Fällen dem direkten Beweis und kann demnach nur durch Indizien nachgewiesen werden. Erforderlich sind klare Hinweise darauf, dass die Führung einer ehelichen Lebensgemeinschaft nicht (mehr) beabsichtigt und nicht mehr zu erwarten ist (BGE 130 II 113 E. 10.2 S. 135, BGE 128 II 145 E. 2.2 und 2.3 S. 151 f.). Vorliegend deuten die Vorgeschichte (siehe Sachverhalt Bst. A und B vorstehend), die kurze Zeit des ehelichen Zusammenlebens und das Fehlen gemeinsamer Interessen auf das Vorliegen einer Scheinehe hin. Auffallende Indizien stellen sodann die sprachlichen Verständigungsschwierigkeiten (der Beschwerdeführer spricht nur wenig deutsch; es gibt keine andere gemeinsame Sprache, in welcher sich die Parteien austauschen können) sowie der Umstand dar, dass er, wenn er in den Jahren 2008 und 2009 besuchsweise in der Schweiz weilte, meist bei den Eltern und nicht etwa bei der künftigen Gattin logierte (vgl. erste Befragung der Ehefrau vom 5. November 2009). Verstärkt wird besagte Vermutung durch die Entwicklung der Ehe nach der Wegweisung des Beschwerdeführers aus der Schweiz rund einen Monat nach der Eheschliessung Ende Juli 2009. Seither haben sich die Eheleute laut Darstellung der Ehefrau nämlich nicht mehr persönlich getroffen. Vielmehr sollen sich die Kontakte auf das Versenden von SMS und vereinzelte Telefonate beschränkt haben. Die davon abweichenden Behauptungen des Beschwerdeführers anlässlich der Einvernahme vom 24. März 2010 (B.______ sei im August 2009 bei ihm im Kosovo gewesen und überweise regelmässig Geld in seine Heimat) erweisen sich aufgrund der kantonalen Akten offenkundig als unwahr. Angesichts des dargelegten, durch die Wegweisung ausgelösten Desinteresses an der Ehe kann angenommen werden, dass der Wille zur Führung einer Lebensgemeinschaft - zumindest auf Seiten des Mannes - von Anfang an nicht gegeben war bzw. es dem Beschwerdeführer vorab darum ging, in der Schweiz leben zu können. Nicht zuletzt im Kontext der Vorgeschichte, wonach er in früheren Jahren mit allen erdenklichen Mitteln wiederholt versucht hat, hierzulande ein Anwesenheitsrecht zu erwirken, ist die vorinstanzliche Einschätzung des konkreten Verdachts des Eingehens einer Scheinehe folglich nicht zu beanstanden. Eines Strafurteils bedarf es, wie an anderer Stelle dargetan (siehe E. 6.2 hiervor), nicht. Der Beschwerdeführer hat mithin auch in dieser Hinsicht einen Fernhaltegrund im Sinne von Art. 67 Abs. 2 Bst. a AuG gesetzt. Bei dieser Sachlage brauchte das BFM keine zusätzlichen Abklärungen zu treffen und hat damit seine Pflicht zur Feststellung des Sachverhalts (Art. 12 VwVG) nicht verletzt.</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Haefelin/Müller/Uhlmann, a.a.O., Rz. 613 ff.).</w:t>
      </w:r>
    </w:p>
    <w:p>
      <w:r>
        <w:rPr>
          <w:b/>
        </w:rPr>
        <w:t>E. 7.1</w:t>
      </w:r>
    </w:p>
    <w:p>
      <w:r>
        <w:t>Entgegen der in der Beschwerdeschrift geäusserten Auffassung wiegt das Fehlverhalten des Beschwerdeführers objektiv nicht leicht. Es beinhaltet die Missachtung ausländerrechtlicher Normen, denen im Interesse einer funktionierenden Rechtsordnung eine zentrale Bedeutung zukommt. Negativ ins Gewicht fällt, dass er durch das Eingehen einer Scheinehe die Behörden getäuscht und auf diese Weise ein Anwesenheitsrecht zu erwirken versucht hat. Insofern besteht ein gewichtiges Interesse an seiner befristeten Fernhaltung.</w:t>
      </w:r>
    </w:p>
    <w:p>
      <w:r>
        <w:rPr>
          <w:b/>
        </w:rPr>
        <w:t>E. 7.2</w:t>
      </w:r>
    </w:p>
    <w:p>
      <w:r>
        <w:t>Hinsichtlich der privaten Interessen verweist der Parteivertreter auf das von seinem Mandanten während Jahren in der Schweiz aufgebaute soziale und familiäre Beziehungsgeflecht. Konkret Bezug genommen wird auf sein inniges Verhältnis zu den hier ansässigen Eltern und Geschwistern. Allfällige Einschränkungen des Privat- bzw. Familienlebens des Be­schwerdeführers können vorliegend aufgrund sachlicher und funktioneller Unzuständigkeit des Bundesverwaltungsgerichts nicht Verfahrensgegenstand sein, soweit sie auf das Fehlen eines dauer­haften Aufenthaltsrechts in der Schweiz zurückzuführen sind (vgl. Urteil des Bundesverwaltungsgerichts C-2069/2010 vom 25. Februar 2011 E. 7.4.2 mit Hinweisen). Die Erteilung von Aufent­haltsbewilligungen fällt grundsätzlich in die Zuständigkeit der Kantone, wobei im Falle einer Bewilligungserteilung auch das bestehende Ein­reiseverbot aufzuheben wäre (vgl. Urteil des Bundesgerichts 2C_793/2008 vom 27. März 2009 E. 3.2 mit Hinweisen). Das Familiennachzugsgesuch von B._______ vom 17. Juli 2009 wurde vom Kanton Uri aufgrund der seitherigen Entwicklung der ehelichen Verhältnisse inzwischen als gegenstandslos geworden abgeschrieben. Die Pflege regelmässiger verwandtschaftlicher Kontakte zur Schweiz scheitert mithin bereits am fehlenden Anwesenheitsrecht hierzulande. Somit stellt sich nurmehr die Frage, ob die durch das Einreiseverbot zusätzlich bewirkte Erschwernis vor Art. 8 der Konvention vom 4. November 1950 zum Schutze der Menschenrechte und Grundfreiheiten (EMRK, SR 0.101) bzw. Art. 13 Abs. 1 BV standhält (vgl. Urteil des Bundesverwaltungsgerichts C-2954/2009 vom 7. November 2011 E. 6.3.1 mit Hinweis).</w:t>
      </w:r>
    </w:p>
    <w:p>
      <w:r>
        <w:rPr>
          <w:b/>
        </w:rPr>
        <w:t>E. 7.3</w:t>
      </w:r>
    </w:p>
    <w:p>
      <w:r>
        <w:t>Da der Beschwerdeführer über kein Aufenthaltsrecht verfügt, könnte er derzeit nur zu Besuchszwecken in die Schweiz kommen. Die Aufhebung des Einreiseverbots würde demnach lediglich dazu führen, dass er den allgemeinen, für Staatsangehörige des Kosovo geltenden Einreisebestimmungen (insbesondere der Visumspflicht) unterstünde (vgl. Art. 4 Abs. 1 der Verordnung vom 22. Oktober 2008 über die Einreise und die Visumerteilung [VEV, SR 142.204] mit Verweisung auf die Verordnung [EG] Nr. 539/2001 des Rates vom 15. März 2001, die im Anhang I eine Liste von Drittländern enthält - darunter das Gebiet des Kosovo - deren Staatsangehörige für den Schengenraum visumspflichtig sind). Der Beschwerdeführer könnte somit ohnehin nicht bewilligungsfrei in die Schweiz einreisen. Die Wirkungen des Einreiseverbots bestehen im Übrigen nicht darin, ihm während dessen Geltungsdauer Besuchsaufenthalte bei Eltern und Geschwistern in der Schweiz schlichtweg zu untersagen. Es steht ihm vielmehr die Möglichkeit offen, aus wichtigen Gründen die Suspension der angeordneten Fernhaltemassnahme zu beantragen (Art. 67 Abs. 5 AuG). Den bisherigen Erfahrungen mit dem Beschwerdeführer, was die Einhaltung der einschlägigen ausländerrechtlichen Normen betrifft, wird das hierfür zuständige BFM freilich Rechnung zu tragen haben.</w:t>
      </w:r>
    </w:p>
    <w:p>
      <w:r>
        <w:rPr>
          <w:b/>
        </w:rPr>
        <w:t>E. 7.4</w:t>
      </w:r>
    </w:p>
    <w:p>
      <w:r>
        <w:t>Eine wertende Gewichtung der sich entgegenstehenden öffentlichen und privaten Interessen führt zum Ergebnis, dass das auf (knapp) drei Jahre befristete Einreiseverbot sowohl vom Grundsatz her als auch in Bezug auf seine Dauer eine verhältnismässige und angemessene Massnahme zum Schutz der öffentlichen Sicherheit und Ordnung darstellt. Das Einreiseverbot ist daher zu bestätigen.</w:t>
      </w:r>
    </w:p>
    <w:p>
      <w:r>
        <w:rPr>
          <w:b/>
        </w:rPr>
        <w:t>E. 8</w:t>
      </w:r>
    </w:p>
    <w:p>
      <w:r>
        <w:t>Aus diesen Erwägungen folgt, dass die angefochtene Verfügung im Lichte von Art. 49 VwVG nicht zu beanstanden ist. Die Beschwerde ist deshalb abzuweisen.</w:t>
      </w:r>
    </w:p>
    <w:p>
      <w:r>
        <w:rPr>
          <w:b/>
        </w:rPr>
        <w:t>E. 9</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