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C-852/2013 vom 17. Dezember 2015</w:t>
      </w:r>
    </w:p>
    <w:p>
      <w:r>
        <w:t>Bundesverwaltungsgericht, 2015-12-17, DE</w:t>
      </w:r>
    </w:p>
    <w:p>
      <w:r>
        <w:rPr>
          <w:b/>
        </w:rPr>
        <w:t xml:space="preserve">Quelle: </w:t>
      </w:r>
      <w:r>
        <w:t>https://mcp.opencaselaw.ch/entscheid/bvger_C-852_2013</w:t>
      </w:r>
    </w:p>
    <w:p>
      <w:r>
        <w:t>FR: TAF C-852/2013 du 17 décembre 2015</w:t>
      </w:r>
    </w:p>
    <w:p>
      <w:r>
        <w:t>IT: TAF C-852/2013 del 17 dicembre 2015</w:t>
      </w:r>
    </w:p>
    <w:p>
      <w:pPr>
        <w:pStyle w:val="Heading2"/>
      </w:pPr>
      <w:r>
        <w:t>Regeste</w:t>
      </w:r>
    </w:p>
    <w:p>
      <w:r>
        <w:t>Verhütung Unfälle und Berufskrankheiten</w:t>
      </w:r>
    </w:p>
    <w:p>
      <w:pPr>
        <w:pStyle w:val="Heading2"/>
      </w:pPr>
      <w:r>
        <w:t>Erwägungen</w:t>
      </w:r>
    </w:p>
    <w:p>
      <w:r>
        <w:rPr>
          <w:b/>
        </w:rPr>
        <w:t>E. 1</w:t>
      </w:r>
    </w:p>
    <w:p>
      <w:r>
        <w:t>Anfechtungsobjekt ist vorliegend der Einspracheentscheid der Suva vom 18. Januar 2013, wonach - in Bestätigung der Verfügung vom 29. Oktober 2012 - die von der Beschwerdeführerin für das Jahr 2012 zu leistende BUV-Prämie aufgrund von wiederholten Zuwiderhandlungen gegen die Arbeitssicherheitsvorschriften rückwirkend um vier Stufen erhöht wurde.</w:t>
      </w:r>
    </w:p>
    <w:p>
      <w:r>
        <w:rPr>
          <w:b/>
        </w:rPr>
        <w:t>E. 1.1</w:t>
      </w:r>
    </w:p>
    <w:p>
      <w:r>
        <w:t>Gemäss Art. 31 VGG beurteilt das Bundesverwaltungsgericht Beschwerden gegen Verfügungen nach Art. 5 VwVG,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Zuteilung der Betriebe und der Versicherten zu den Klassen und Stufen der Prämientarife und Anordnungen zur Verhütung von Unfällen und Berufskrankheiten ist in Art. 109 Bst. b und c UVG geregelt. Bei der hier strittigen Höhereinreihung im Prämientarif handelt es sich um eine Massnahme der Unfallverhütung (BGE 116 V 255 E. 2), weshalb die Zuständigkeit des Bundesverwaltungsgerichts zur Beurteilung der vorliegenden Beschwerde gestützt auf Art. 109 Bst. c UVG gegeben ist.</w:t>
      </w:r>
    </w:p>
    <w:p>
      <w:r>
        <w:rPr>
          <w:b/>
        </w:rPr>
        <w:t>E. 1.2</w:t>
      </w:r>
    </w:p>
    <w:p>
      <w:r>
        <w:t>Das Verfahren vor dem Bundesverwaltungsgericht richtet sich nach dem VwVG, soweit das Verwaltungsgerichtsgesetz nichts anderes bestimmt (Art. 37 VGG). Vorbehalten bleiben gemäss Art. 3 Bst. dbis VwVG die besonderen Bestimmungen des ATSG (SR 830.1).</w:t>
      </w:r>
    </w:p>
    <w:p>
      <w:r>
        <w:rPr>
          <w:b/>
        </w:rPr>
        <w:t>E. 1.3</w:t>
      </w:r>
    </w:p>
    <w:p>
      <w:r>
        <w:t>Als Adressatin des Einspracheentscheides hatte die Beschwerdeführerin bei Beschwerdeeinreichung ein schützenswertes Interesse an dessen Aufhebung oder Abänderung (Art. 59 ATSG, Art. 48 Abs. 1 VwVG), weshalb sie beschwerdelegitimiert war. Wie vorne (Sachverhalt A.a) erwähnt, wurde die Beschwerdeführerin aber am (...) 2015 im Handelsregister des Kantons V._______ gelöscht und deren Kranbetrieb (bzw. die entsprechenden Aktiven und Passiven) auf die neu gegründete A._______ AG übertragen (BVGer-act. 17-21). Durch diese Transaktion auf dem Weg der Universalsukzession ist die A._______ AG hinsichtlich des vorliegenden Streitgegenstandes von Amtes wegen als Rechtsnachfolgerin der Beschwerdeführerin zu betrachten (vgl. Art. 69 ff. des Fusionsgesetzes vom 3. Oktober 2003 [SR 221.301]; Marantelli-Sonanini/Huber, in: Waldmann/Weissenberger [Hrsg.], Praxiskommentar VwVG, 2008, Art. 6 N. 48 ff.). Dies wird vom Rechtsvertreter der Beschwerdeführerin in der Eingabe vom 10. Dezember 2015 bestätigt (BVGer-act. 24). Ein Rechtsschutzinteresse der A._______ AG an der Weiterführung des hängigen Verfahrens ist angesichts der von ihr übernommenen Aktiven und Passiven des Kranbetriebes der Beschwerdeführerin zu bejahen.</w:t>
      </w:r>
    </w:p>
    <w:p>
      <w:r>
        <w:rPr>
          <w:b/>
        </w:rPr>
        <w:t>E. 1.4</w:t>
      </w:r>
    </w:p>
    <w:p>
      <w:r>
        <w:t>Die Beschwerde wurde im Übrigen frist- und formgerecht eingereicht (vgl. Art. 38 ff. und Art. 60 ATSG, Art. 52 VwVG). Da auch der Kostenvorschuss innert Frist geleistet wurde (Art. 63 Abs. 4 VwVG), ist auf die Beschwerde einzutreten.</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w:t>
      </w:r>
    </w:p>
    <w:p>
      <w:r>
        <w:rPr>
          <w:b/>
        </w:rPr>
        <w:t>E. 3.1</w:t>
      </w:r>
    </w:p>
    <w:p>
      <w:r>
        <w:t>Der Vollzug der Bestimmungen über die Verhütung von Berufsunfällen und Berufskrankheiten obliegt gemäss Art. 85 Abs. 1 UVG den Durchführungsorganen des Arbeitsgesetzes vom 13. Mai 1964 (ArG, SR 822.11) und der Suva. Die gestützt auf Art. 85 Abs. 2 UVG eingesetzte eidgenössische Koordinationskommission für die Arbeitssicherheit (EKAS) stimmt die einzelnen Durchführungsbereiche aufeinander ab, soweit der Bundesrat hierüber keine Bestimmungen erlassen hat; sie sorgt für eine einheitliche Anwendung der Vorschriften über die Verhütung von Berufsunfällen und Berufskrankheiten in den Betrieben (Art. 85 Abs. 3 Satz 1 UVG). Die Beschlüsse der EKAS sind für die Versicherer und die Durchführungsorgane des ArG verbindlich (Art. 85 Abs. 4 UVG). Die EKAS kann insbesondere Ausführungsbestimmungen zum Verfahren erlassen (Art. 53 Bst. a VUV), was sie mit dem Leitfaden (nachfolgend: EKAS-Leitfaden) gemacht hat.</w:t>
      </w:r>
    </w:p>
    <w:p>
      <w:r>
        <w:rPr>
          <w:b/>
        </w:rPr>
        <w:t>E. 3.2</w:t>
      </w:r>
    </w:p>
    <w:p>
      <w:r>
        <w:t>Nach Art. 92 Abs. 3 UVG können die Betriebe bei Zuwiderhandlung gegen Vorschriften über die Verhütung von Unfällen und Berufskrankheiten jederzeit und auch rückwirkend in eine höhere Gefahrenstufe versetzt werden. Diese Höhereinreihung richtet sich gemäss Art. 113 Abs. 2 UVV nach den Bestimmungen der VUV, wobei der betroffene Betrieb in der Regel in eine Stufe mit einem um mindestens 20% höheren Prämiensatz versetzt werden soll. Ist dies innerhalb des Tarifs nicht möglich, so wird der Prämiensatz der höchsten Stufe der betreffenden Klasse entsprechend erhöht. Laut Art. 66 Abs. 1 VUV kann ein Betrieb in eine höhere Stufe des Prämientarifs versetzt werden, sofern der Arbeitgeber einer vollstreckbaren Verfügung keine Folge leistet oder er auf andere Weise Vorschriften über die Arbeitssicherheit zuwiderhandelt. Die Prämienerhöhung wird unter Angabe von Beginn und Dauer vom zuständigen Durchführungsorgan angeordnet. Sie muss vom Versicherer unverzüglich verfügt werden, wobei das Durchführungsorgan eine Kopie dieser Verfügung erhält (Art. 66 Abs. 2 VUV).</w:t>
      </w:r>
    </w:p>
    <w:p>
      <w:r>
        <w:rPr>
          <w:b/>
        </w:rPr>
        <w:t>E. 4</w:t>
      </w:r>
    </w:p>
    <w:p>
      <w:r>
        <w:t>Bei der Überprüfung einer Verfügung gestützt auf Art. 92 Abs. 3 UVG ist in einem ersten Schritt zu beurteilen, ob eine Missachtung der Vorschriften über die Unfallverhütung vorliegt. Ist dies zu bejahen, muss weiter geprüft werden, ob die verfügte Prämienerhöhung in rechtmässiger Anwendung der massgeblichen Bestimmungen ergangen ist.</w:t>
      </w:r>
    </w:p>
    <w:p>
      <w:r>
        <w:rPr>
          <w:b/>
        </w:rPr>
        <w:t>E. 4.1</w:t>
      </w:r>
    </w:p>
    <w:p>
      <w:r>
        <w:t>Gemäss Art. 82 Abs. 1 UVG ist der Arbeitgeber verpflichtet, zur Verhütung von Berufsunfällen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Tätigkeiten konkretisiert werden. Dazu gehören namentlich die Bauarbeitenverordnung vom 29. Juni 2005 (BauAV, SR 832.311.141) sowie die Kranverordnung vom 27. September 1999 (SR 832.312.15). Vorliegend sind insbesondere die folgenden Bestimmungen relevant:</w:t>
      </w:r>
    </w:p>
    <w:p>
      <w:r>
        <w:rPr>
          <w:b/>
        </w:rPr>
        <w:t>E. 4.1.1</w:t>
      </w:r>
    </w:p>
    <w:p>
      <w:r>
        <w:t>Gemäss Art. 5 VUV muss der Arbeitgeber den Arbeitnehmern zumutbare persönliche Schutzausrüstungen (PSA) wie unter anderem Schutzhelme und Schutzgeräte gegen Absturz zur Verfügung stellen, falls Unfall- und Gesundheitsgefahren durch technische oder organisatorische Massnahmen nicht oder nicht vollständig ausgeschlossen werden können, und er muss dafür sorgen, dass diese jederzeit bestimmungsgemäss verwendet werden können. Laut Art. 6 Abs. 3 VUV sorgt der Arbeitgeber dafür, dass die Arbeitnehmer die Massnahmen der Arbeitssicherheit einhalten. Art. 5 Abs. 2 Bst. b BauAV schreibt eine Schutzhelmtragpflicht bei Arbeiten im Bereich von Kranen vor. Gemäss Art. 8 Abs. 2 Bst. a BauAV sind sodann zur Gewährleistung der Arbeitsplätze insbesondere Absturzsicherungen im Sinne der Art. 15-19 anzubringen. Art. 19 Abs. 1 BauAV bestimmt, dass Fanggerüste, Auffangnetze oder Seilsicherungen zu verwenden oder gleichwertige Schutzmassnahmen zu treffen sind, wo das Anbringen eines Seitenschutzes nach Art. 16 oder eines Gerüstes nach Art. 18 technisch nicht möglich oder zu gefährlich ist.</w:t>
      </w:r>
    </w:p>
    <w:p>
      <w:r>
        <w:rPr>
          <w:b/>
        </w:rPr>
        <w:t>E. 4.1.2</w:t>
      </w:r>
    </w:p>
    <w:p>
      <w:r>
        <w:t>Die Vorinstanz stellte anlässlich der erwähnten Baustellenkontrollen vom 27. September 2011, 7. Februar 2012, 4. Mai 2012 und 17. Juli 2012 (vgl. Sachverhalt B.a) die folgenden sicherheitswidrigen Zustände fest: ungesichertes Arbeiten bei der Kranmontage (Absturzhöhe ca. 30 m, Vorakten 8/4), Ausführung von Arbeiten durch Kranmonteure ohne Helm und ohne Sicherung (Vorakten 10/5-6), Ausführung von Arbeiten auf dem Kranbock ohne Absturzsicherung (Vorakten 11), Vornahme von Arbeiten auf dem Kranausleger ohne Absturzsicherung (Vorakten 15). Seitens der Beschwerdeführerin wurden die genannten Vorfälle sowie die ihr deswegen von der Vorinstanz vorgehaltenen Zuwiderhandlungen gegen die Vorschriften über die Arbeitssicherheit explizit nicht bestritten (siehe insb. BVGer-act. 1 S. 8, 13 S. 5). Es kann daher als erstellt gelten, dass die Beschwerdeführerin in den Jahren 2011 und 2012 mehrmals gegen Vorschriften über die Verhütung von Unfällen verstossen hat.</w:t>
      </w:r>
    </w:p>
    <w:p>
      <w:r>
        <w:rPr>
          <w:b/>
        </w:rPr>
        <w:t>E. 4.2</w:t>
      </w:r>
    </w:p>
    <w:p>
      <w:r>
        <w:t>Im Folgenden bleibt zu prüfen, ob die hier streitige Höhereinreihung der Beschwerdeführerin im BUV-Prämientarif in korrekter Anwendung der gesetzlichen Zuständigkeitsregeln und unter Beachtung der allgemeinen Grundsätze des Verwaltungshandelns verfügt wurde.</w:t>
      </w:r>
    </w:p>
    <w:p>
      <w:r>
        <w:rPr>
          <w:b/>
        </w:rPr>
        <w:t>E. 4.2.1</w:t>
      </w:r>
    </w:p>
    <w:p>
      <w:r>
        <w:t>Gemäss Art. 66 Abs. 2 VUV ordnet das zuständige Durchführungsorgan die Prämienerhöhung nach Art. 113 Abs. 2 UVV an, welche vom zuständigen Versicherer unverzüglich verfügt werden muss. In Betrieben des Baugewerbes und bei Arbeiten anderer Betriebe auf deren Baustellen beaufsichtigt die Suva als zuständiges Durchführungsorgan die Anwendung der Vorschriften über die Verhütung von Berufsunfällen (Art. 85 Abs. 1 UVG i.V.m. Art. 49 Abs. 1 Ziff. 11 VUV). Dass vorliegend die Bestimmungen über die Unfallverhütung durch die Suva vollzogen werden, ist somit nicht zu beanstanden und im Übrigen unbestritten. Ebenso wenig zu erläutern ist die unstreitige versicherungsrechtliche Unterstellung des hier zur Diskussion stehenden Kranbetriebes unter die Suva, welche sich aus Art. 66 Abs. 1 Bst. b UVG in Verbindung mit Art. 73 UVV ergibt. Vorliegend war die Suva demnach sowohl für die Anordnung der streitigen Prämienerhöhung als auch für den Erlass der entsprechenden Verfügung zuständig.</w:t>
      </w:r>
    </w:p>
    <w:p>
      <w:r>
        <w:rPr>
          <w:b/>
        </w:rPr>
        <w:t>E. 4.2.2</w:t>
      </w:r>
    </w:p>
    <w:p>
      <w:r>
        <w:t>Nach Art. 113 Abs. 2 UVV erfolgt wegen Zuwiderhandlung gegen Vorschriften über die Verhütung von Unfällen eine Einreihung in eine höhere Stufe des Prämientarifs, wobei der Betrieb in der Regel in eine Stufe mit einem um mindestens 20% höheren Prämiensatz versetzt werden soll. Die Sanktion greift ungeachtet der Schwere des Verstosses. Das Eidgenössische Versicherungsgericht (EVG, heute: BGer) hat diese Ordnung grundsätzlich als mit dem Verhältnismässigkeitsprinzip und dem Willkürverbot vereinbar bezeichnet (Urteil des EVG U 240/03 vom 2. Juni 2004 E. 6.3 mit Hinweis auf BGE 116 V 255 E. 4b und c, veröffentlicht in: RKUV 2004 Nr. U 525 S. 549 ff.). Die verfügte Sanktion muss sich aber auch im Einzelfall als verhältnismässig erweisen (BGE 116 V 255 E. 4b; Urteil des BVGer C-4640/2007 vom 9. März 2009 E. 4.2.2 mit Hinweis).</w:t>
      </w:r>
    </w:p>
    <w:p>
      <w:r>
        <w:rPr>
          <w:b/>
        </w:rPr>
        <w:t>E. 4.2.3</w:t>
      </w:r>
    </w:p>
    <w:p>
      <w:r>
        <w:t>Die Beschwerdeführerin wurde von der Vorinstanz rückwirkend für das Jahr 2012 im BUV-Prämientarif um vier Stufen höher eingereiht. Der Prämiensatz wurde von 2.164% (Stufe 97) auf 2.630% (Stufe 101) und damit um 21.53% erhöht. Diese Höhereinreihung entspricht den Vorgaben von Art. 113 Abs. 2 UVV und wird seitens der Beschwerdeführerin ausdrücklich nicht bestritten (BVGer-act. 13 S. 3).</w:t>
      </w:r>
    </w:p>
    <w:p>
      <w:r>
        <w:rPr>
          <w:b/>
        </w:rPr>
        <w:t>E. 4.2.4</w:t>
      </w:r>
    </w:p>
    <w:p>
      <w:r>
        <w:t>Die Beschwerdeführerin rügt zunächst eine Verletzung der vor­instanzlichen Begründungspflicht mit dem Argument, der Einspracheentscheid befasse sich nicht mit dem Aspekt der Verhältnismässigkeit, insbesondere nicht mit der Relation der Zahl der Verwarnungen zur Zahl der Mitarbeiter und Baustellen (BVGer-act. 1 S. 6 f.).</w:t>
      </w:r>
    </w:p>
    <w:p>
      <w:r>
        <w:rPr>
          <w:b/>
        </w:rPr>
        <w:t>E. 4.2.4.1</w:t>
      </w:r>
    </w:p>
    <w:p>
      <w:r>
        <w:t>Einen wesentlichen Bestandteil des in Art. 29 Abs. 2 BV garantierten Anspruchs auf rechtliches Gehör bildet die Begründungspflicht. Diese soll verhindern, dass sich die Behörde von unsachlichen Motiven leiten lässt, und es der betroffenen Person ermöglichen, die Verfügung bzw. den Einspracheentscheid gegebenenfalls sachgerecht anzufechten. Dies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jedoch nicht, dass sie sich ausdrücklich mit jeder tatbeständlichen Behauptung und jedem rechtlichen Einwand auseinandersetzen muss. Vielmehr kann sie sich auf die für den Entscheid wesentlichen Gesichtspunkte beschränken (statt vieler: BGE 124 V 180 E. 1a; Urteil des EVG I 3/05 vom 17. Juni 2005 E. 3.1.3 mit Hinweisen, veröffentlicht in: SVR 2006 IV Nr. 27).</w:t>
      </w:r>
    </w:p>
    <w:p>
      <w:r>
        <w:rPr>
          <w:b/>
        </w:rPr>
        <w:t>E. 4.2.4.2</w:t>
      </w:r>
    </w:p>
    <w:p>
      <w:r>
        <w:t>Entgegen der Ansicht der Beschwerdeführerin befasste sich die Vorinstanz in ihrem Einspracheentscheid durchaus mit dem Verhältnismässigkeitsprinzip. Nach Hinweis auf die massgeblichen Bestimmung (E. 3 und 3b/c) legte die Vorinstanz in ihren Erwägungen (insb. E. 3d) kurz und klar dar, aus welchen wesentlichen Überlegungen sie die Verhältnismässigkeit der Höhereinreihung vorliegend bejahte und dass die seitens der Beschwerdeführerin gemachten Einwände deshalb nicht zu berücksichtigen seien. Unter diesen Umständen konnte sich die Beschwerdeführerin ohne weiteres Rechenschaft geben über die Tragweite des Entscheides und diesen sachgerecht ans Gericht weiterziehen. Im Unterscheid zur Einreihung in den Prämientarif (BVGE 2007/27 E. 9.3) handelt es sich bei der Prämienerhöhung wegen Zuwiderhandlung gegen Unfallverhütungsvorschriften nicht grundsätzlich um eine komplexe Materie, so dass eine entsprechend ausführlichere und umfassendere Begründung notwendig gewesen wäre. Dies gilt auch hinsichtlich der hier streitigen Höhereinreihung. Hinzu kommt, dass die Vorinstanz sich in ihrer Vernehmlassung (BVGer-act. 6 S. 4 Ziff. 10) - anders als von der Beschwerdeführerin in der Replik behauptet (BVGer-act. 13 S. 4 f.) - eingehend mit der Frage auseinandersetzt, ob eine Differenzierung nach der Betriebsgrösse im Rahmen einer strafweisen Prämienerhöhung angebracht sei, und im Übrigen auch in der Duplik weitere Ausführungen dazu macht (BVGer-act. 15 S. 2 f. Ziff. 3 f.). Selbst wenn also von einer geringfügigen Verletzung des rechtlichen Gehörs ausgegangen würde, müsste diese vorliegend als geheilt gelten (vgl. BGE 127 V 431 E. 3d/aa; 126 V 130 E. 2b mit Hinweisen). Eine Verletzung des rechtlichen Gehörs durch die Vorinstanz ist nach dem Gesagten zu verneinen.</w:t>
      </w:r>
    </w:p>
    <w:p>
      <w:r>
        <w:rPr>
          <w:b/>
        </w:rPr>
        <w:t>E. 4.2.5</w:t>
      </w:r>
    </w:p>
    <w:p>
      <w:r>
        <w:t>Die Beschwerdeführerin bringt sodann vor, die Vorinstanz habe den Einspracheentscheid willkürlich, treuwidrig und einseitig begründet, indem sie ohne Berücksichtigung anderer zeitlicher Faktoren davon ausgehe, dass die vier unbestrittenen Zuwiderhandlungen sich innerhalb einer Periode von "weniger als zehn Monaten" ereignet hätten und diese als "augenfällige Häufung" qualifiziert würden. Zudem sei in der vorinstanzlichen Argumentation völlig unbeachtet geblieben, dass die am 21. September 2012 auf der Baustelle (...) in U._______ durchgeführte Arbeitsplatzkontrolle keine Mängel oder Gefährdung der Arbeitssicherheit habe aufzeigen können (BVGer-act. 1 S. 7 f., 13 S. 5 f.).</w:t>
      </w:r>
    </w:p>
    <w:p>
      <w:r>
        <w:rPr>
          <w:b/>
        </w:rPr>
        <w:t>E. 4.2.5.1</w:t>
      </w:r>
    </w:p>
    <w:p>
      <w:r>
        <w:t>Die vorliegende Rüge der Willkür und Treuwidrigkeit gemäss Art. 9 BV richtet sich gegen die Begründung des angefochtenen Entscheides. Ein Entscheid verstösst aber gegen Art. 9 BV nicht schon dann, wenn er willkürlich begründet ist, sondern erst, wenn er auch im Ergebnis unhaltbar ist (Urteil des BGer 8C_594/2010 vom 25. August 2011 E. 3.4.2).</w:t>
      </w:r>
    </w:p>
    <w:p>
      <w:r>
        <w:rPr>
          <w:b/>
        </w:rPr>
        <w:t>E. 4.2.5.2</w:t>
      </w:r>
    </w:p>
    <w:p>
      <w:r>
        <w:t>Die streitige Höhereinreihung als solche wird von der Beschwerdeführerin nicht als mit Art. 9 BV unvereinbar gerügt und eine entsprechende Unvereinbarkeit ist aufgrund der vorliegenden Akten nicht ersichtlich. Auch die vorinstanzliche Begründung des angefochtenen Entscheides ist entgegen der Auffassung der Beschwerdeführerin nicht als willkürlich oder treuwidrig zu betrachten. Vorliegend gilt als erwiesen, dass sich die vier unbestrittenen Zuwiderhandlungen gegen Vorschriften über die Verhütung von Unfällen in der Zeit von Ende September 2011 bis Mitte Juli 2012 und folglich tatsächlich innerhalb einer Periode von "weniger als zehn Monaten" ereignet hatten. In keiner Art und Weise ist zu beanstanden, dass die Vor­instanz diesen Umstand als "augenfällige Häufung" qualifiziert. Dies gilt umso mehr, wenn berücksichtigt wird, dass die vier Verstösse unbestrittenermassen im Rahmen von Stichprobenkontrollen festgestellt wurden (vgl. BVGer-act. 6 S. 5). Von einer willkürlichen Reduktion des massgeblichen Zeitraums kann keine Rede sein. Bei einer strafweisen Höhereinreihung sind aufgrund des klaren Wortlauts von Art. 92 Abs. 3 UVG die Zuwiderhandlungen gegen Vorschriften über die Verhütung von Unfällen massgebend. Die Einhaltung der entsprechenden Vorschriften wird vorausgesetzt und kann nicht entlastend wirken. Der Vorinstanz ist somit nicht vorzuhalten, dass sie in ihrer Entscheidbegründung den Umstand unerwähnt liess, wonach anlässlich der Arbeitsplatzkontrolle vom 21. September 2012 keine Sicherheitsmängel festgestellt werden konnten (Vorakten 22).</w:t>
      </w:r>
    </w:p>
    <w:p>
      <w:r>
        <w:rPr>
          <w:b/>
        </w:rPr>
        <w:t>E. 4.2.6</w:t>
      </w:r>
    </w:p>
    <w:p>
      <w:r>
        <w:t>Insbesondere rügt die Beschwerdeführerin schliesslich eine Verletzung des Verhältnismässigkeitsprinzips mit der Begründung, die Vor­instanz setze die in den Jahren 2011 und 2012 ausgesprochenen vier Ermahnungen nicht in Relation zu den aktuell 52 Angestellten und den pro Jahr ca. 800 bis 1'000 ausgeführten Kranmontagen auf ca. 500 Baustellen (BVGer-act. 1 S. 9 ff.). Die Beschwerdeführerin macht geltend, die Vor­instanz wende den EKAS-Leitfaden in einer undifferenzierten und zu wortgetreuen Weise an, was zu einer rechtsungleichen Behandlung führe (BVGer-act. 13 S. 8).</w:t>
      </w:r>
    </w:p>
    <w:p>
      <w:r>
        <w:rPr>
          <w:b/>
        </w:rPr>
        <w:t>E. 4.2.6.1</w:t>
      </w:r>
    </w:p>
    <w:p>
      <w:r>
        <w:t>Gemäss dem EKAS-Leitfaden (Ziff. 5.2.8) spricht das Durchführungsorgan im Normalfall dreimal eine Ermahnung aus und verfügt erst bei der vierten Feststellung eines sicherheitswidrigen Zustandes eine Prämienerhöhung. Je nach Bedeutung des Verstosses kann und soll das Verfahren abgekürzt werden. Die Prämienerhöhung könnte daher bereits nach der ersten Feststellung angeordnet werden, sofern dem Betrieb vorgängig das rechtliche Gehört gewährt worden ist. Andererseits sollen Feststellungen, die mehr als 10 Jahre zurückliegen, nicht berücksichtigt werden (vgl. auch EKAS-Leitfaden Ziff. 5.3).</w:t>
      </w:r>
    </w:p>
    <w:p>
      <w:r>
        <w:rPr>
          <w:b/>
        </w:rPr>
        <w:t>E. 4.2.6.2</w:t>
      </w:r>
    </w:p>
    <w:p>
      <w:r>
        <w:t>Die EKAS-Richtlinien stellen nicht unmittelbar verbindliches Recht dar, sondern sind konkretisierende Bestimmungen, welche den Arbeitgeber nicht verpflichten (vgl. EKAS-Leitfaden Ziff. 2.3.3). Gleiches gilt - wie die Beschwerdeführerin richtig annimmt - auch für den EKAS-Leitfaden, welcher den Durchführungsorganen, die den Vollzug der gesetzlichen Vorschriften betreffend Arbeitssicherheit zu überwachen und notfalls durchzusetzen haben (vgl. E. 3.1), Anleitungen gibt in der Absicht, ein einheitliches und rechtsgleiches Vorgehen in der Praxis zu fördern (EKAS-Leitfaden Ziff. 1; vgl. auch Art. 52a Abs. 1 VUV). Die Rechtsprechung erachtet die im EKAS-Leitfaden enthaltene Regel, wonach im Normalfall (sofern nicht ein besonders gravierender Verstoss vorliegt oder die Verletzung von Vorschriften zu einem Unfall geführt hat) drei Ermahnungen ausgesprochen werden und bei der vierten Feststellung eines sicherheitswidrigen Zustandes eine Prämienerhöhung verfügt wird, als Ausdruck des Verhältnismässigkeitsgrundsatzes (BVGE 2010/37 E. 2.4.2.2). Die gilt insbesondere vor einer erstmaligen Sanktion (Urteil des BVGer C-6018/2008 vom 25. November 2010 E. 6.2.4; vgl. auch Urteil des BVGer C-5278/2010 vom 22. Oktober 2012 E. 4.2.3).</w:t>
      </w:r>
    </w:p>
    <w:p>
      <w:r>
        <w:rPr>
          <w:b/>
        </w:rPr>
        <w:t>E. 4.2.6.3</w:t>
      </w:r>
    </w:p>
    <w:p>
      <w:r>
        <w:t>Die Vorinstanz hatte die Beschwerdeführerin unbestrittener- und erwiesenermassen dreimal schriftlich ermahnt, bevor sie nach der vierten Feststellung von Sicherheitsmängeln (erstmals) die Prämienerhöhung verfügte. Dieses Vorgehen entspricht dem oben erwähnten EKAS-Leitfaden und kann gestützt auf die zitierte Rechtsprechung deshalb nicht als unverhältnismässig bezeichnet werden. Daran ändern die von der Beschwerdeführerin vorgebrachten Einwände nichts: Es trifft nicht zu, dass die Befolgung der erwähnten EKAS-Regel, welche hinsichtlich der strafweisen Höhereinreihung auf die Anzahl Zuwiderhandlungen abstellt und weitere Faktoren (wie Betriebsgrösse, Anzahl Angestellte, Anzahl Baustellen etc.) unberücksichtigt lässt, zu einer rechtsungleichen Behandlung führt. Im Gegenteil hat die Einhaltung dieser Regel zur Folge, dass die Vorschriften über Arbeitssicherheit in allen Betrieben nach dem gleichen Massstab durchgesetzt werden (vgl. dazu EKAS-Leitfaden Ziff. 2.4.1). Es kann nicht sein, dass sich ein grösserer Betrieb mehr (festgestellte) Sicherheitsmängel erlauben kann und dadurch seine Arbeitnehmenden einer höheren Gefährdung aussetzt, bis eine sanktionsweise Höhereinreihung im Prämientarif erfolgt. Vielmehr hat ein grösserer Betrieb entsprechend seiner Grösse für die Einhaltung der Sicherheitsvorschriften mehr Aufwand zu betreiben, damit die Arbeitsplatzsicherheit gleich hoch ist wie in einem kleineren Betrieb. Die streitige EKAS-Regel findet folglich unabhängig von der Grösse eines Betriebes Anwendung. Die Vorinstanz weist deshalb zu Recht darauf hin, dass grössere Betriebe, welche wiederholt gegen die Vorschriften der Arbeitssicherheit verstossen bzw. ihre Mitarbeitenden nicht anhalten, diese Vorschriften konsequent einzuhalten, ein höheres Risiko darstellen (BVGer-act. 15 S. 3, 6 S. 5). Gemäss der Rechtsprechung des Bundesgerichts (BGE 116 V 255) ist in der Regel sogar bei jeder Zuwiderhandlung eine Prämienerhöhung angebracht (E. 4b), wobei diese nicht von der Schwere der Verletzung der Arbeitssicherheitsvorschriften abhängt (E. 4c). Laut den vorliegenden Akten stellte die Vorinstanz anlässlich von Baustellenkontrollen nicht nur die vier besagten sicherheitswidrigen Zustände fest, sondern es wurden - entgegen der pauschalen Behauptung der Beschwerdeführerin in der Replik (BVGer-act. 13 S. 8) - vor dem 27. September 2011 noch zwei weitere Verstösse gegen Vorschriften über die Arbeitssicherheit konstatiert, nämlich am 21. Juli 2011 (in T._______, Werkhof [...], nicht fachgerechter Einsatz der PSAgA auf dem Lagerplatzkran [Vorakten 6]) und am 25. August 2011 (Kranmonteur am Boden trug keinen Helm [Vorakten 7]). Die aufgrund der festgestellten Mängel entstandene Gefährdung wurde von der Vorinstanz zwar offensichtlich nicht als erhöht oder noch grösser eingestuft, weshalb in diesen beiden Fällen keine Ermahnung erfolgte (vgl. EKAS-Leitfaden Ziff. 5.3). Dennoch handelt es sich bei diesen aktenmässig dokumentierten und im Vollzugsverfahren unbestritten gebliebenen Vorfällen um weitere Zuwiderhandlungen gegen Vorschriften über die Verhütung von Unfällen (vgl. E. 4.1.1), welche die Verhältnismässigkeit der hier streitigen Prämienerhöhung deutlich machen.</w:t>
      </w:r>
    </w:p>
    <w:p>
      <w:r>
        <w:rPr>
          <w:b/>
        </w:rPr>
        <w:t>E. 4.2.6.4</w:t>
      </w:r>
    </w:p>
    <w:p>
      <w:r>
        <w:t>Die Beschwerdeführerin rügt, die Suva habe eine Monopolstellung inne (BVGer-act. 13 S. 7). Dazu ist festzuhalten, dass der Gesetzgeber ausdrücklich wollte, dass die Arbeitnehmenden von Betrieben, welche eine bestimmte Tätigkeit ausüben, ausschliesslich bei der Suva versichert sind (vgl. Art. 66 Abs. 1 UVG). Die Zusammensetzung der EKAS ergibt sich ebenfalls aus dem Gesetz, welches in Art. 85 Abs. 2 UVG regelt, dass sich die EKAS je zur Hälfte aus Vertretern der Versicherer und der Durchführungsorgane des ArG zusammensetzt (vgl. auch Art. 47 ff. VUV). Diese gesetzlichen Regelungen sind vom Bundesverwaltungsgericht nicht zu überprüfen (Art. 190 BV; vgl. auch Urteil des BVGer C-5278/2010 vom 22. Oktober 2012 E. 4.2.4.1)</w:t>
      </w:r>
    </w:p>
    <w:p>
      <w:r>
        <w:rPr>
          <w:b/>
        </w:rPr>
        <w:t>E. 4.2.6.5</w:t>
      </w:r>
    </w:p>
    <w:p>
      <w:r>
        <w:t>Die Beschwerdeführerin kann sich bezüglich der streitigen Höhereinreihung sodann nicht darauf berufen, aktive und über das branchenübliche bzw. gesetzliche Mass hinausgehende Bemühungen zur Unfallverhütung unternommen zu haben (BVGer-act. 1 S. 10, 13 S. 10). Sie scheint bei ihrer Argumentation den Unterschied zu verkennen zwischen einer sanktionsweisen Höhereinreihung im Prämientarif nach Art. 92 Abs. 3 UVG einerseits und der ordentlichen (risikogerechten) Einreihung in den Prämientarif gemäss Art. 92 Abs. 2 UVG andererseits. Für die Versetzung in eine höhere Stufe des Prämientarifs gemäss Art. 92 Abs. 3 UVG in Verbindung mit Art. 113 Abs. 2 UVV und Art. 66 Abs. 1 VUV ist einzig die Zuwiderhandlung gegen Arbeitssicherheitsvorschriften massgebend. Grundlage bildet hingegen die ordentliche Einreihung, welche gemäss Art. 92 Abs. 2 UVG auch den Stand der Unfallverhütung berücksichtigt. Die sanktionsweise Höhereinreihung ist (in der Regel auf ein Jahr) befristet. Nach Ablauf dieser Zeitperiode fällt die Höhereinreihung dahin und hat keinen Einfluss auf die weitere (ordentliche) Einreihung (vgl. Urteil des BVGer C-6018/2008 vom 25. November 2010 E. 6.2.2). Die von der Beschwerdeführerin geltend gemachten Anstrengungen zur Unfallverhütung sind daher unbehelflich (vgl. auch Urteil des BVGer C-7273/2013 vom 8. Mai 2015 E. 7.4).</w:t>
      </w:r>
    </w:p>
    <w:p>
      <w:r>
        <w:rPr>
          <w:b/>
        </w:rPr>
        <w:t>E. 4.2.6.6</w:t>
      </w:r>
    </w:p>
    <w:p>
      <w:r>
        <w:t>Aus dem Umstand, Kranmonteure würden praktisch nie abstürzen und auch in ihrem Betrieb habe sich bislang kein Absturzunfall ereignet (BVGer-act. 13 S. 9), kann die Beschwerdeführerin ebenfalls nichts zu ihren Gunsten ableiten. Eine strafweise Höhereinreihung aufgrund von Zuwiderhandlungen gegen Arbeitssicherheitsvorschriften erfolgt gemäss Rechtsprechung unabhängig davon, ob sich aufgrund der nicht eingehaltenen Sicherheitsvorschriften ein Unfall ereignet hat oder nicht (vgl. BGE 116 V 255 E. 4c; Urteile des BVGer C-4640/2007 vom 9. März 2009 E. 4.3 und C-3410/2009 vom 11. November 2013 E. 4.8).</w:t>
      </w:r>
    </w:p>
    <w:p>
      <w:r>
        <w:rPr>
          <w:b/>
        </w:rPr>
        <w:t>E. 4.2.6.7</w:t>
      </w:r>
    </w:p>
    <w:p>
      <w:r>
        <w:t>Schliesslich ist die seitens der Beschwerdeführerin geäusserte Kritik an der Anwendbarkeit und Umsetzbarkeit der von der Vorinstanz zitierten Arbeitssicherheitsvorschriften auf Kranen (BVGer-act. 13 S. 9) unbeachtlich und als Schutzbehauptung zu werten. Die Vorinstanz hat die hier massgeblichen Bestimmungen richtig wiedergegeben (Vorakten 8 S. 4, 10 S. 5, 12, 16 S. 5, 30 S. 4) und die entsprechenden Zuwiderhandlungen wurden von der Beschwerdeführerin mehrfach ausdrücklich anerkannt.</w:t>
      </w:r>
    </w:p>
    <w:p>
      <w:r>
        <w:rPr>
          <w:b/>
        </w:rPr>
        <w:t>E. 4.3</w:t>
      </w:r>
    </w:p>
    <w:p>
      <w:r>
        <w:t>Nach dem Gesagten erweist sich die am 29. Oktober 2012 verfügte Prämienerhöhung als korrekt. Die Vorinstanz hat die dagegen erhobene Einsprache zu Recht abgewiesen. Der angefochtene Einspracheentscheid vom 18. Januar 2013 ist deshalb zu bestätigen und die Beschwerde ist abzuweisen.</w:t>
      </w:r>
    </w:p>
    <w:p>
      <w:r>
        <w:rPr>
          <w:b/>
        </w:rPr>
        <w:t>E. 5</w:t>
      </w:r>
    </w:p>
    <w:p>
      <w:r>
        <w:t>Es bleibt über die Verfahrenskosten und eine allfällige Parteientschädigung zu befinden.</w:t>
      </w:r>
    </w:p>
    <w:p>
      <w:r>
        <w:rPr>
          <w:b/>
        </w:rPr>
        <w:t>E. 5.1</w:t>
      </w:r>
    </w:p>
    <w:p>
      <w:r>
        <w:t>Gemäss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800.- festzulegen. Der einbezahlte Kostenvorschuss ist zur Bezahlung der Verfahrenskosten zu verwenden.</w:t>
      </w:r>
    </w:p>
    <w:p>
      <w:r>
        <w:rPr>
          <w:b/>
        </w:rPr>
        <w:t>E. 5.2</w:t>
      </w:r>
    </w:p>
    <w:p>
      <w:r>
        <w:t>Der obsiegenden Partei kann von Amtes wegen oder auf Begehren eine Entschädigung für ihr erwachsene notwendige und verhältnismässig hohe Kosten zugesprochen werden (Art. 64 Abs. 1 VwVG). Die Vorinstanz als mit einer öffentlichen Aufgabe betraute Organisation hat jedoch keinen Anspruch auf Parteientschädigung (vgl. BGE 128 V 124 E. 5b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