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C-8505/2007 vom 17. März 2010</w:t>
      </w:r>
    </w:p>
    <w:p>
      <w:r>
        <w:t>Bundesverwaltungsgericht, 2010-03-17, FR</w:t>
      </w:r>
    </w:p>
    <w:p>
      <w:r>
        <w:rPr>
          <w:b/>
        </w:rPr>
        <w:t xml:space="preserve">Quelle: </w:t>
      </w:r>
      <w:r>
        <w:t>https://mcp.opencaselaw.ch/entscheid/bvger_C-8505_2007</w:t>
      </w:r>
    </w:p>
    <w:p>
      <w:r>
        <w:t>FR: TAF C-8505/2007 du 17 mars 2010</w:t>
      </w:r>
    </w:p>
    <w:p>
      <w:r>
        <w:t>IT: TAF C-8505/2007 del 17 marzo 2010</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et 130 V 445 et les références). En l'occurrence, les dispositions de la 5ème révision de la LAI entrée en vigueur le 1er janvier 2008 ne sont pas applicables et il est fait référence dans le présent arrêt aux dispositions en vigueur jusqu'au 31 décembre 2007.</w:t>
      </w:r>
    </w:p>
    <w:p>
      <w:r>
        <w:rPr>
          <w:b/>
        </w:rPr>
        <w:t>E. 4.1</w:t>
      </w:r>
    </w:p>
    <w:p>
      <w:r>
        <w:t>Le recourant fait valoir dans son recours que la motivation de la décision attaquée était insuffisante et qu'il n'a pu prendre connaissance du contenu de l'expertise CEMed que dans le cadre de la procédure de recours. Ces griefs équivalent à invoquer une violation du droit d'être entendu, droit dont le respect est examiné d'office par le Tribunal de céans (cf. ATF 120 V 357 consid. 2a).</w:t>
      </w:r>
    </w:p>
    <w:p>
      <w:r>
        <w:rPr>
          <w:b/>
        </w:rPr>
        <w:t>E. 4.2</w:t>
      </w:r>
    </w:p>
    <w:p>
      <w:r>
        <w:t>En principe,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 ss et 840 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 / Georg Müller / Felix Uhlmann, Allgemeines Verwaltungsrecht, 5e éd., Zurich/Bâle/Genève 2006, n° 1711; Andreas Auer / Giorgio Malinverni / Michel Hotte-lier, Droit constitutionnel suisse, vol. II, Les droits fondamentaux, 2ème éd., Berne 2006, n° 1347 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4.3</w:t>
      </w:r>
    </w:p>
    <w:p>
      <w:r>
        <w:t>Dans un arrêt C-6034/2009 du 20 janvier 2010 le Tribunal de céans a eu l'occasion d'appliquer ces principes et d'annuler une décision de l'OAIE pour le motif que l'intéressé n'avait pas pu prendre connaissance du dossier de la cause et que la décision était insuffisamment motivée. Le cas d'espèce est néanmoins différent de celui jugé par le Tribunal de céans dans son arrêt C-6034/2009. Il est vrai que dans la présente procédure le droit d'être entendu a été violé du fait que les pièces médicales (en particulier l'expertise CEMed) n'étaient pas jointes à la décision. En outre, il n'y avait pas de raison valable qui aurait pu justifier le refus de l'OAIE de remettre une copie du dossier à l'assuré qui s'était personnellement présenté à ses bureaux. Toutefois, ces violations ont entre-temps été réparées. Le représentant du recourant a pu prendre connaissance du dossier le 30 novembre 2007 (donc déjà pendant le délai de recours) et a pu rédiger son mémoire de recours en connaissance de cause. Dans sa réponse au recours du 14 avril 2008, l'OAIE a ensuite expliqué de manière détaillée les raisons de sa décision. La partie recourante a pu s'exprimer à ce sujet lors d'un deuxième échange d'écritures. Compte tenu du plein pouvoir d'examen de ce Tribunal, on peut dès lors retenir que le grief concernant la violation du droit d'être entendu a été réparé, d'autant plus qu'un renvoi de la cause ne serait pas dans l'intérêt de l'assuré car il retarderait inutilement la procédure.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1 LAI en vigueur dès le 1er janvier 2004,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suisses et de l'Union européenne qui présentent un degré d'invalidité de 40% au moins ont droit à un quart de rente en application de l'art. 28 al. 1 LAI s'ils ont leur domicile et leur résidence habituelle dans un Etat membre de l'UE.</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6.2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let. a RAI la diminution ou la suppression de la rente ou de l'allocation pour impotent prend normalement effet, au plus tôt, le premier jour du deuxième mois qui suit la notification de la décision.</w:t>
      </w:r>
    </w:p>
    <w:p>
      <w:r>
        <w:rPr>
          <w:b/>
        </w:rPr>
        <w:t>E. 6.4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7</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 En l'espèce, les status fondant, d'une part, les décisions des 9 et 23 juillet 2004 de l'OAI-GE et, d'autre part, le status de l'assuré ayant fondé la décision du 13 novembre 2007 sont déterminants pour la discussion du cas.</w:t>
      </w:r>
    </w:p>
    <w:p>
      <w:r>
        <w:rPr>
          <w:b/>
        </w:rPr>
        <w:t>E. 8.1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d'oeuvre et, d'autre part, un marché du travail structuré de telle sorte qu'il offre un éventail d'emplois diversifiés.</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9</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10.1</w:t>
      </w:r>
    </w:p>
    <w:p>
      <w:r>
        <w:t>Le droit à une rente entière d'invalidité a été reconnu en faveur de l'assuré à compter du 1er janvier 2003 pour un taux d'invalidité de 100% par décisions des 9 et 23 juillet 2004. Ces décisions se sont essentiellement fondées sur les conclusions du rapport du stage professionnel d'observation effectué en juillet-octobre 2003 qui mit en exergue une incapacité totale à être placé pour des raisons à la fois physiques et comportementales en relation avec les rapports médicaux ayant noté un état dépressif et des troubles de mémoire.</w:t>
      </w:r>
    </w:p>
    <w:p>
      <w:r>
        <w:rPr>
          <w:b/>
        </w:rPr>
        <w:t>E. 10.2</w:t>
      </w:r>
    </w:p>
    <w:p>
      <w:r>
        <w:t>Dans le cadre de la procédure de révision initiée fin 2005, l'OAIE prit acte du rapport E 213 du 8 mai 2006 concluant à une incapacité de travail totale et de la nécessité selon la Dresse C._______ (rapport du 30 novembre 2006) d'effectuer une expertise pluridisciplinaire de l'assuré. Il appert de l'expertise réalisée en février 2007 que l'assuré, en bonne santé générale, présente essentiellement des atteintes au rachis qui ne lui permettent plus d'exercer son ancienne activité d'étancheur mais qui lui permettraient néanmoins d'exercer une activité adaptée ne nécessitant pas un engagement physique lourd, le port de charges régulier de plus de 10kg, une position en port-à-faux du tronc, offrant de pouvoir changer relativement fréquemment de position, avec une perte de rendement, compte tenu de ces limitations, de 30%. Sur le plan psychiatrique le rapport retint un léger ralentissement psychomoteur, pas de trouble significatif, un discours adéquat et cohérent, pas d'idéation suicidaire ni d'idées de dévalorisation mais une tristesse et un découragement marqué, soit un état dépressif pouvant être qualifié de moyen entraînant une diminution de la capacité de travail de 30%. Le recourant s'oppose à cette appréciation en se référant notamment à un rapport du Dr K._______ du 6 décembre 2007 et à une note du même médecin du 11 janvier 2008. Ce dernier retient que le recourant pourrait reprendre une activité de substitution à 60% avec un rendement limité (75%). La Dresse C._______ a pris connaissance de ces rapports et exposé que les conclusions de l'expertise CEMed restaient valables.</w:t>
      </w:r>
    </w:p>
    <w:p>
      <w:r>
        <w:rPr>
          <w:b/>
        </w:rPr>
        <w:t>E. 10.3.1</w:t>
      </w:r>
    </w:p>
    <w:p>
      <w:r>
        <w:t>Force est de constater que le diagnostic formulé par le Dr K._______ n'est pas différent, en la substance, de celui des médecins du CEMed. La capacité de travail de l'intéressé est limitée surtout en raison des troubles à la colonne vertébrale et de l'asthme. Ces pathologies sont de nature à l'empêcher de reprendre une activité lourde ou à éviter certaines postures. En ces circonstances, l'activité d'étancheur n'est toujours pas possible. En revanche, une activité légère adaptée qui tient compte de ces pathologies doit être exigible. L'expertise CEMed retient que cette activité est possible à 70% alors que le Dr K._______ n'admet qu'une capacité résiduelle de 60%. Or, cette différence est minime et, si l'on considère que dans le doute une expertise privée penche en faveur de l'assuré qui l'a sollicitée, le Tribunal de céans n'a pas de raison de mettre en doute l'appréciation des médecins du CEMed. Du reste, la valeur probante d'une expertise privée doit être relativisée en raison du rapport de confiance qui unit le médecin à son client (sur ces questions ATF 125 V 353 consid. 3b/cc). La diminution de rendement de 75% alléguée par le Dr K._______ ne paraît pas non plus justifiée. En effet, l'éventail des professions adaptées que le recourant pourrait reprendre est suffisamment large pour qu'on puisse exiger une reprise à 70% sans perte de rendement dans au moins une activité (cf. consid. 12.2 ci-après). Du point de vue somatique, l'état de santé de l'intéressé s'est donc amélioré par rapport à la date de l'octroi de la rente entière, lorsqu'on lui avait reconnu une incapacité de travail totale.</w:t>
      </w:r>
    </w:p>
    <w:p>
      <w:r>
        <w:rPr>
          <w:b/>
        </w:rPr>
        <w:t>E. 10.3.2</w:t>
      </w:r>
    </w:p>
    <w:p>
      <w:r>
        <w:t>En ce qui concerne le trouble psychiatrique, l'expertise du CEMed met en évidence que l'assuré n'est pas correctement suivi. Cette atteinte pourrait justifier une incapacité de travail de 30% au maximum, éventuellement une incapacité moindre si elle était prise en charge. Le Dr K._______ ne s'exprime pas de manière détaillée sur cette pathologie se limitant à indiquer que l'assuré prend des médicaments anti-dépresseurs. Pour éviter tout malentendu, il convient de rappeler que d'après la jurisprudence du Tribunal fédéral des assurances (actuellement Tribunal fédéral), les différents taux d'incapacité de travail relatifs à chaque pathologie ne sont pas cumulables mais il faut plutôt procéder à une évaluation globale de la capacité de travail résiduelle de l'intéressé (SVR 2008 IV n. 15 consid. 2.1, ATF 123 V 50 consid. 3b). Il n'est donc pas correct de retenir, comme le fait le recourant dans son mémoire du 14 décembre 2007, que la capacité de travail résiduelle est de 49% (correspondant à 70% de 70%). La gravité de la pathologie psychiatrique ne semble pas non plus, selon l'appréciation du Tribunal de céans, d'une gravité telle qu'elle devrait compromettre la reprise d'une activité lucrative légère. L'épisode dépressif est qualifié de moyen, ce qui constitue déjà une amélioration par rapport à l'octroi de la rente lorsqu'on avait retenu un désarroi important. Les médecins du CEMed ont mis en évidence un ralentissement psychomoteur, un manque de motivation, une fatigabilité accrue et une incapacité à prendre des initiatives. Dans le cadre d'une appréciation globale, ils ont admis une incapacité de travail de 30%. Cette appréciation paraît raisonnable. En tous cas, aucune pièce médicale versée aux actes la contredit valablement. Compte tenu de ce qui précède, le Tribunal de céans peut admettre, en accord avec le service médical de l'OAIE que l'état de santé de l'intéressé s'est amélioré et qu'il présente une capacité de travail de 70% dans une activité de substitution.</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11.3</w:t>
      </w:r>
    </w:p>
    <w:p>
      <w:r>
        <w:t>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les enquêtes suisses sur la structure des salaires peuvent aussi servir à fixer le montant des revenus que l'assuré aurait pu obtenir s'il n'était pas invalide.</w:t>
      </w:r>
    </w:p>
    <w:p>
      <w:r>
        <w:rPr>
          <w:b/>
        </w:rPr>
        <w:t>E. 11.4</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12.1</w:t>
      </w:r>
    </w:p>
    <w:p>
      <w:r>
        <w:t>En l'espèce, il sied de relever que le revenu de l'assuré sans invalidité doit être celui effectivement obtenu. Or, il appert du dossier que le revenu annuel de l'assuré en 2000 a été de Fr. 67'072.30 et en 2001 de Fr. 66'432.85 vacances comprises (pce 7). Le droit aux vacances, ou son succédané sous forme de supplément de salaire afférent aux vacances (cf. Aubert in Thévenoz / Werro, Commentaire romand Code des obligations I, Bâle 2003, art. 329a n° 3) étant de droit relativement impératif (art. 329a al. 1 et 362 CO), l'autorité inférieure ne saurait ne pas prendre cette partie du salaire en compte car elle correspond en l'espèce au mois de relâche dans la construction d'août 2000 et 2001 pour lesquels l'intéressé a perçu les salaires afférents durant les mois d'activité. Le salaire de Fr. 66'432.85, correspondant à Fr. 5'536.07 mensuels, doit être indexé jusqu'à 2007 (date de la décision dont est recours). On obtient un résultat de Fr. 5'928.89 (en ce qui concerne l'évolution des salaires, voir La Vie économique, tableau B 10.2, décembre 2009).</w:t>
      </w:r>
    </w:p>
    <w:p>
      <w:r>
        <w:rPr>
          <w:b/>
        </w:rPr>
        <w:t>E. 12.2</w:t>
      </w:r>
    </w:p>
    <w:p>
      <w:r>
        <w:t>Le revenu d'invalide tiré des données statistiques doit tenir compte d'un large éventail d'activités légères existant sur le marché du travail. Un nombre suffisant d'entre elles peut être exercé sans efforts moyennement importants et autorise le changement de position, de sorte que ces activités sont adaptées au handicap du recourant. De plus, la majeure partie de ces postes ne nécessite pas de formation particulière autre qu'une mise au courant initiale. Selon les données statistiques publiées par l'Office fédéral compétent, le salaire après invalidité se monte à Fr. 4'732.-, données 2006, pour des activités de substitution simples et légères du secteur privé en général. À cet égard, il convient de préciser qu'il s'agit des données tirées du Tableau TA1, qui sont déterminantes en l'espèce selon la jurisprudence du Tribunal fédéral (cf. RSAS 2007 p. 64). Ce chiffre indexé à 2007 donne un montant de Fr. 4'807.71 (+ 1.6%), qui doit être encore adapté pour tenir compte de la durée de travail hebdomadaire de 41.7 heures (cf. La Vie économique, tableau B 9.2), au lieu de 40 heures sur lesquelles sont calculées les données statistiques. On obtient ainsi un résultat de Fr. 5'012.03 à 100% ou de Fr. 3'508.42 à 70%. La réduction des salaires ressortant des statistiques (abattement) relève en premier lieu de l'OAIE, qui dispose pour cela d'un large pouvoir d'appréciation. En l'espèce l'abattement de 5% appliqué par l'autorité inférieure peut être retenu. Il s'ensuit que le revenu théorique pour des activités adaptées de Fr. 3'508.42, abaissé de 5% pour les raisons indiquées par l'OAIE d'âge et de limitations dans les travaux légers, soit Fr. 3'333.-, fonde une perte de gain de 44%, taux insuffisant pour avoir droit à une rente supérieure au quart de rente ([ 5'928.89 - 3'508.42] : 5'928.89 x 100 = 43.78%). Il appert de ce qui précède que le recours doit être rejeté et la décision attaquée confirmée.</w:t>
      </w:r>
    </w:p>
    <w:p>
      <w:r>
        <w:rPr>
          <w:b/>
        </w:rPr>
        <w:t>E. 13</w:t>
      </w:r>
    </w:p>
    <w:p>
      <w:r>
        <w:t>Vu l'issue de la procédure, les frais de celle-ci, fixés à Fr. 400.-, sont mis à la charge du recourant (art. 63 al. 1 PA, applicable par le truchement de l'art. 37 LTAF). Ils sont compensés par l'avance de frais du même montant dont il s'est acquitté au cours de l'instruction. Il n'est pas alloué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