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C-848/2006 vom 23. Juli 2007</w:t>
      </w:r>
    </w:p>
    <w:p>
      <w:r>
        <w:t>Bundesverwaltungsgericht, 2007-07-23, DE</w:t>
      </w:r>
    </w:p>
    <w:p>
      <w:r>
        <w:rPr>
          <w:b/>
        </w:rPr>
        <w:t xml:space="preserve">Quelle: </w:t>
      </w:r>
      <w:r>
        <w:t>https://mcp.opencaselaw.ch/entscheid/bvger_C-848_2006</w:t>
      </w:r>
    </w:p>
    <w:p>
      <w:r>
        <w:t>FR: TAF C-848/2006 du 23 juillet 2007</w:t>
      </w:r>
    </w:p>
    <w:p>
      <w:r>
        <w:t>IT: TAF C-848/2006 del 23 luglio 2007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am 14. September 2006 geleisteten Kostenvorschuss gedeckt.</w:t>
      </w:r>
    </w:p>
    <w:p>
      <w:r>
        <w:rPr>
          <w:b/>
        </w:rPr>
        <w:t>E. 3</w:t>
      </w:r>
    </w:p>
    <w:p>
      <w:r>
        <w:t>Dieses Urteil wird eröffnet: - dem Beschwerdeführer (eingeschrieben) - der Vorinstanz (eingeschrieben, Akten Ref-Nr. [...] und [...] retour) Der Kammerpräsident: Die Gerichtsschreiberin: A. Imoberdorf E. Sturm Versand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