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C-847/2013 vom 21. März 2014</w:t>
      </w:r>
    </w:p>
    <w:p>
      <w:r>
        <w:t>Bundesverwaltungsgericht, 2014-03-21, FR</w:t>
      </w:r>
    </w:p>
    <w:p>
      <w:r>
        <w:rPr>
          <w:b/>
        </w:rPr>
        <w:t xml:space="preserve">Quelle: </w:t>
      </w:r>
      <w:r>
        <w:t>https://mcp.opencaselaw.ch/entscheid/bvger_C-847_2013</w:t>
      </w:r>
    </w:p>
    <w:p>
      <w:r>
        <w:t>FR: TAF C-847/2013 du 21 mars 2014</w:t>
      </w:r>
    </w:p>
    <w:p>
      <w:r>
        <w:t>IT: TAF C-847/2013 del 21 marzo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2012/21 consid. 5.1). 3.1 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règlement modifié en dernier lieu par le règlement (UE) n° 610/2013, JO L 182 du 29 juin 2013, p. 1]. L'art. 5 par. 1 du code frontières Schengen, dont le contenu coïncide largement avec celui de l'art. 5 al. 1 LEtr précité (cf. à ce propos Philipp Egli/Tobias 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à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Etas membres. 3.2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w:t>
      </w:r>
    </w:p>
    <w:p>
      <w:r>
        <w:t>L'interdiction d'entrée, qui permet d'empêcher l'entrée ou le retour en Suisse (et dans l'Espace Schengen; cf. arrêt du Tribunal administratif fédéral C-6528/2008 du 14 mai 2009 consid. 4)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5.1 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5.2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C-6801/2010 du 1er avril 2011 consid. 4 et C-1667/2010 du 21 mars 2011 consid. 3.3).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notamment arrêts du Tribunal administratif fédéral C-30/2013 du 31 décembre 2013 consid. 4.5 et C-5458/2012 du 23 octobre 2013 consid. 5.3.3, avec jurispr. cit.). 5.4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 6.1 En l'occurrence, l'ODM a prononcé à l'encontre de A._______, en date du 4 janvier 2013, une décision d'interdiction d'entrée en Suisse d'une durée de deux ans, au motif qu'elle avait sérieusement porté atteinte à la sécurité et à l'ordre publics en séjournant illégalement dans l'Espace Schengen durant plus de trente jours après l'expiration de la durée de son séjour non soumis à autorisation. 6.2 6.2.1 En vertu des normes en vigueur fixant la liste des pays tiers dont les ressortissants sont soumis à l'obligation de visa pour franchir les frontières extérieures des Etats membres et la liste de ceux dont les ressortissants sont exemptés de cette obligation, qui constituent un développement des dispositions de l'acquis de Schengen au sens de l'accord entre l'Union européenne, la Communauté européenne et la Confédération suisse sur l'association de la Confédération suisse à la mise en oeuvre, à l'application et au développement de l'acquis de Schengen, les ressortissants ukrainiens sont soumis à l'obligation de visa pour entrer sur le territoire des États membres pour des séjours ne dépassant pas 90 jours sur une période de 180 jours (cf., sur cette problématique, le site internet de l'ODM: www.bfm.admin.ch &gt; Documentation &gt; Bases légales &gt; Directives et circulaires &gt; VII. Visas &gt; Séjour jusqu'à 90 jours &gt; Annexes du Manuel des visas I et Complément ODM &gt; Annexe 1, liste 1: Prescriptions documents de voyage et de visas selon nationalité &gt; Ukraine; version du 1er janvier 2014; site internet consulté en février 2014). 6.2.2 Dans ce contexte, il sied de noter que plusieurs dispositions de l'OEV ont été modifiées par le Conseil fédéral le 14 août 2013 (RO 2013 2733). Ainsi, l'ancien art. 17 al. 3 OEV, sur lequel s'est appuyé l'ODM pour retenir l'infraction commise par A._______ en matière de visa, a été remplacé par l'art. 17 OEV, dont la teneur est la suivante: "Le titulaire d'un visa de Schengen peut séjourner jusqu'à 90 jours par période de 180 jours dans un Etat Schengen, conformément à l'art. 5 par. 1 et 1a, du code frontières Schengen". 6.3 En l'occurrence, il appert des pièces versées au dossier que A._______ a été mise au bénéfice d'un visa de type C (visite familiale/amicale), avec entrées multiples, émis le 16 juin 2011 et valable jusqu'au 15 juin 2013 (cf. visa figurant dans le passeport de l'intéressée). Lorsqu'un visa à entrées multiples d'une durée de validité comprise entre six mois et cinq ans est délivré, la durée du séjour autorisé est toujours de 90 jours par période de 180 jours (cf. Manuel des visas I précité, p. 134). Lesdites prescriptions prévoient, par ailleurs, qu'un visa à entrées multiples peut être délivré en faveur d'une personne ayant établi la preuve de son intégrité et de sa fiabilité, et établi la nécessité ou justifie son intention de voyager fréquemment et/ou régulièrement, en particulier du fait de sa profession ou de sa situation familiale. Il en va ainsi, en particulier, des membres de la famille de ressortissants de pays tiers résidant légalement dans les Etats membres (ibid., p. 135). In casu, l'intéressée peut se prévaloir d'une telle situation puisqu'elle est la mère d'une citoyenne d'un pays tiers, résidant régulièrement à Genève avec son mari et ses trois enfants, et que, du moins selon ses indications, elle a obtenu régulièrement des visas, depuis près de dix ans, "pour passer du temps avec sa famille" (cf. mémoire de recours, ch. 3 à 5). Selon le calcul effectué par l'ODM (en appliquant l'ancienne règlementation), A._______ était entrée en Suisse le 3 février 2012; elle n'était donc pas autorisée, jusqu'au 3 août 2012, à séjourner plus de 90 jours en Suisse ou dans l'Espace Schengen (sur une période de 180 jours). Etant ressortie de Suisse le 20 avril 2012, soit 78 jours depuis son entrée en ce pays le 3 février 2012, la prénommée ne pouvait dès lors tout au plus effectuer, avant le 4 août 2012, qu'un séjour de 12 jours. L'intéressée étant revenue en Suisse le 27 juin 2012, elle aurait ainsi dû quitter l'Espace Schengen le 8 juillet 2012. Or, elle n'est ressortie de Suisse que le 26 septembre 2012 (et non pas le 29 septembre 2012 comme cela est indiqué par inadvertance dans la décision entreprise). Ainsi que l'autorité inférieure le constate sur la base de son calcul (cf. prise de position du 13 mai 2013), la recourante a résidé de manière illégale sur le territoire helvétique du 8 juillet 2012 au 26 septembre 2012, soit durant 80 jours. Le résultat est identique, à un jour près, si l'on fait le calcul du séjour excédentaire selon la nouvelle réglementation. Il résulte de ce qui précède que quelle que soit la règlementation applicable, l'on doit constater que le séjour de l'intéressée excède largement la marge de tolérance de 30 jours retenue par l'ODM et justifie en conséquence de retenir à l'encontre de l'intéressée une infraction aux prescriptions de police des étrangers. 6.4 La recourante se prévaut de sa bonne foi, laissant par-là entendre qu'il n'était nullement dans son intention de violer "le régime suisse des visas". Elle reproche au contraire au Service de contrôle des passeports à l'aéroport de Genève de ne pas lui avoir signalé, lors de sa dernière entrée en Suisse le 27 juin 2012, qu'elle enfreignait le régime des visas ou qu'elle risquait de l'enfreindre à brève échéance. De plus, elle soutient que les fonctionnaires de l'Ambassade de Suisse à Kiev lui ont toujours indiqué qu'elle était en droit de séjourner en Suisse durant les périodes concernées (cf. mémoire de recours, p. 4). Le Tribunal ne saurait retenir de tels arguments pour considérer qu'il n'y aurait pas eu, en l'espèce, infraction aux prescriptions de police des étrangers et, partant, d'atteinte à la sécurité et à l'ordre publics au sens de l'art. 80 al. 1 let. a OASA. Même dans l'hypothèse où elle n'aurait pas eu l'intention de commettre sciemment une infraction à la loi, la recourante ne pouvait pas manquer de connaître les conditions spécifiques auxquelles était soumis le visa à entrées multiples, compte tenu du fait que ce type de visa lui avait déjà été délivré à de nombreuses reprises (ibid., p. 3). En tout état de cause, il convient de noter que la négligence ou l'absence de volonté délictuelle ne constitue en aucun cas un motif de renonciation au prononcé d'une mesure d'éloignement (cf. à ce sujet, parmi d'autres, l'arrêt du Tribunal administratif fédéral C-6017/2010 du 19 avril 2011 consid. 6.1 et jurispr. cit.). 6.5 Compte tenu de ce qui précède, force est d'admettre que l'interdiction d'entrée prononcée le 4 janvier 2013 en application de l'art. 67 al. 2 let. a LEtr est parfaitement justifiée dans son principe, A._______ ayant bien attenté à la sécurité et à l'ordre publics en raison d'un séjour illégal largement supérieur à 30 jours dans l'Espace Schengen. A cet égard, il sied de rappeler (cf. consid. 5.3.2 supra) qu'aux termes de l'art. 80 al. 1 let. a OASA, il y a notamment atteinte à la sécurité et à l'ordre publics en cas de violation de prescriptions légales ou de décisions d'autorités. Or, comme cela a été évoqué ci-avant et tel que cela est précisément le cas en l'espèce, le seul fait de séjourner illégalement en Suisse constitue bien une violation des prescriptions légales.</w:t>
      </w:r>
    </w:p>
    <w:p>
      <w:r>
        <w:rPr>
          <w:b/>
        </w:rPr>
        <w:t>E. 7</w:t>
      </w:r>
    </w:p>
    <w:p>
      <w:r>
        <w:t>Il convient encore d'examiner si la mesure d'éloignement prise par l'ODM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André Grisel, Traité de droit administratif, Neuchâtel 1984, vol. I, p. 339ss, 348ss, 358ss et 364ss ; Blaise Knapp, Précis de droit administratif, Bâle/Francfort-sur-le-Main 1991, p. 103ss, 113ss et 124ss; cf. consid. 5.4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 cit.; cf. également la doctrine citée ci-dessus).</w:t>
      </w:r>
    </w:p>
    <w:p>
      <w:r>
        <w:rPr>
          <w:b/>
        </w:rPr>
        <w:t>E. 7.2</w:t>
      </w:r>
    </w:p>
    <w:p>
      <w:r>
        <w:t>En l'espèce, il appert que le motif retenu à l'appui de la mesure d'éloignement prise à l'endroit de A._______ (séjour illégal) ne saurait être contesté et que l'infraction aux prescriptions de police des étrangers doit être qualifiée de grave au sens indiqué plus haut (cf. consid. 5.3.3). Or, compte tenu du nombre élevé de contraventions commises dans ce domaine, les autorités sont contraintes d'intervenir avec sévérité afin d'assurer la stricte application des prescriptions édictées en la matière.</w:t>
      </w:r>
    </w:p>
    <w:p>
      <w:r>
        <w:rPr>
          <w:b/>
        </w:rPr>
        <w:t>E. 7.3</w:t>
      </w:r>
    </w:p>
    <w:p>
      <w:r>
        <w:t>Dans le cadre de l'analyse du principe de proportionnalité au sens étroit, l'intérêt privé de A._______ à pouvoir venir en Suisse est un élément qui doit être examiné. La recourante relève ainsi que la mesure d'éloignement a eu pour conséquence de la priver de la relation personnelle qu'elle a toujours entretenue avec sa famille à Genève. Aussi souligne-t-elle "la dureté totalement injuste et infondée" de la sanction qui prévoit une interdiction d'entrée jusqu'au 3 janvier 2015, soit une durée de deux ans (cf. mémoire de recours, p. 4). A ce sujet, le Tribunal estime que les éléments mis en avant par la recourante ne sauraient être considérés comme prépondérants par rapport à l'intérêt public à son éloignement du territoire helvétique pendant une certaine durée encore, cela d'autant moins que la mesure querellée ne constitue pas un obstacle au maintien des relations familiales invoquées. En effet, la recourante garde la faculté de solliciter, comme elle l'avait déjà fait en 2013, une suspension de la mesure d'interdiction d'entrée prise à son encontre en application de l'art. 67 al. 5 LEtr (cf. sauf-conduit délivré par l'ODM en date du 13 juin 2013 aux fins de pouvoir effectuer un séjour familial à Genève). Tenant compte de l'ensemble des éléments objectifs et subjectifs de la cause, le Tribunal considère que l'interdiction d'entrée en Suisse prise par l'autorité inférieure le 4 janvier 2013 est une mesure nécessaire et adéquate afin de prévenir toute nouvelle atteinte à la sécurité et à l'ordre publics en Suisse et dans l'Espace Schengen. La durée de cette mesure - deux ans - fondée sur un séjour illégal s'étant étalé sur plusieurs mois après l'expiration de la durée du séjour non soumis à autorisation dans l'Espace Schengen, tient suffisamment compte de l'intérêt privé de la recourante et, partant, respecte le principe de proportionnalité. Il convient par conséquent de confirmer la décision de l'autorité de première instance sur ce point. 8.L'ODM a par ailleurs ordonné l'inscription de l'interdiction d'entrée dans le SIS. Ainsi que cela ressort du dossier, A._______ n'est pas un ressortissante de l'un des Etats parties aux accords d'association à Schengen. En raison de ce signalement dans le SIS, il lui est interdit de pénétrer dans l'Espace Schengen. Ce signalement est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l'intéressée sur leur territoire national, pour des motifs sérieux, voire de lui délivrer un visa à validité territoriale limitée (cf. supra consid. 5.2 in fine). 9. En conséquence, le Tribunal est amené à conclure que la décision querellée est conforme au droit (cf. art. 49 PA). Le recours est en conséquence rejeté. Vu l'issue de la procédure, les frais de procédure sont mis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