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C-846/2013 vom 4. März 2015</w:t>
      </w:r>
    </w:p>
    <w:p>
      <w:r>
        <w:t>Bundesverwaltungsgericht, 2015-03-04, IT</w:t>
      </w:r>
    </w:p>
    <w:p>
      <w:r>
        <w:rPr>
          <w:b/>
        </w:rPr>
        <w:t xml:space="preserve">Quelle: </w:t>
      </w:r>
      <w:r>
        <w:t>https://mcp.opencaselaw.ch/entscheid/bvger_C-846_2013</w:t>
      </w:r>
    </w:p>
    <w:p>
      <w:r>
        <w:t>FR: TAF C-846/2013 du 4 mars 2015</w:t>
      </w:r>
    </w:p>
    <w:p>
      <w:r>
        <w:t>IT: TAF C-846/2013 del 4 marzo 2015</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Ne discende che si applicano, da un lato, le norme materiali in vigore fino al 31 dicembre 2011, per quanto attiene allo stato di fatto realizzatosi fino a tale data, mentre dall'altro, e per il periodo successivo, le disposizioni della 6a revisione della LAI (cfr. DTF 130 V 1 consid. 3.2 per quanto concerne le disposizioni formali della LPGA, immediatamente applicabili con la loro entrata in vigore).</w:t>
      </w:r>
    </w:p>
    <w:p>
      <w:r>
        <w:rPr>
          <w:b/>
        </w:rPr>
        <w:t>E. 3.2</w:t>
      </w:r>
    </w:p>
    <w:p>
      <w:r>
        <w:t>La ricorrente ha presentato la domanda di rendita il 14 aprile 2011. In deroga all'art. 24 LPGA, l'art. 29 LAI prevede che il diritto alla rendita nasce al più presto dopo sei mesi dalla data in cui l'assicurato ha rivendicato il diritto alle prestazioni conformemente all'art. 29 cpv. 1 LPGA (riservate altresì le condizioni dell'art. 28 cpv. 1 LAI).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Giova peraltro rilevare che la ricorrente ha versato contributi all'AVS/AI svizzera per più di 17 anni (doc. A 2-3 e 10-1 e doc. C 19-1) e, pertanto, adempie in ogni caso la condizione della durata minima di contribuzione.</w:t>
      </w:r>
    </w:p>
    <w:p>
      <w:r>
        <w:rPr>
          <w:b/>
        </w:rPr>
        <w:t>E. 5</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domiciliare (DTF 130 V 97 consid. 3.3.1). L'art. 27 dell'OAI (RS 831.201) precisa che per mansioni consuete di una persona senza attività lucrativa occupata nell'economia domestica s'intendono gli usuali lavori domestici, l'educazione dei figli nonché le attività artistiche e di pubblica utilità. Peraltro, l'invalidità dell'assicurato che esercita solo parzialmente un'attività lucrativa e per il resto è dedito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137 V 334 consid. 5 e 130 V 393 consid. 3.3 nonché relativi riferimenti; v. pure sentenze del TF 9C_963/2013 del 24 ottobre 2014 consid. 4 e 9C_52/2013 del 12 aprile 2013 consid. 2.1 e riferimenti).</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8</w:t>
      </w:r>
    </w:p>
    <w:p>
      <w:r>
        <w:t>L'autorità inferiore ha ritenuto per la ricorrente lo statuto di salariata al 70% e di casalinga al 30%. Ha poi considerato che a causa del danno alla salute risulta per l'insorgente una capacità al lavoro del 75% in un'attività sostitutiva adeguata, ciò che conduce ad un grado d'incapacità al guadagno dell'1% in ambito lavorativo (confronto fra un reddito da valida di fr. 25'814.- ed un reddito da invalida di fr. 25'545.- [senza effettuazione del parallelismo dei redditi]). Ciò premesso, essa ha rinunciato ad effettuare l'inchiesta domiciliare in merito all'impedimento dell'insorgente a svolgere le mansioni di casalinga, ritenuto che il grado d'impedimento massimo del 30% che ne sarebbe potuto risultare, avrebbe potuto al più comportare un grado d'invalidità complessivo del 31%, ciò che esclude il riconoscimento del diritto ad una rendita d'invalidità svizzera.</w:t>
      </w:r>
    </w:p>
    <w:p>
      <w:r>
        <w:rPr>
          <w:b/>
        </w:rPr>
        <w:t>E. 9.1</w:t>
      </w:r>
    </w:p>
    <w:p>
      <w:r>
        <w:t>Questo Tribunale rileva, in primo luogo, che è incontestato sia da parte della ricorrente sia da parte dell'autorità inferiore che l'insorgente, da sana, dopo la nascita della figlia, avrebbe consacrato la sua attività ad un'occupazione lavorativa al 70% e si sarebbe dedicata all'economia domestica per il restante 30%, la ricorrente medesima avendo già indicato nell'ambito della procedura di prima istanza, con scritto del 26 ottobre 2011 (doc. A 64-1), che avrebbe svolto un'attività lucrativa tra il 60% e l'80%.</w:t>
      </w:r>
    </w:p>
    <w:p>
      <w:r>
        <w:rPr>
          <w:b/>
        </w:rPr>
        <w:t>E. 9.2</w:t>
      </w:r>
    </w:p>
    <w:p>
      <w:r>
        <w:t>In secondo luogo, nelle perizie reumatologiche del 28 agosto 2012 e del 22 ottobre 2012 del dott. E._______ (doc. A 80-1 e 88-1), è in particolare indicato che l'assicurata è stata sottoposta a trattamento di escissione della recidiva (di un tumore) al polso sinistro nel febbraio 2011, che la medesima presenta dei dolori al polso sinistro irradianti all'avambraccio e alle dita della mano sinistra - polso sinistro, avambraccio e mano sinistra diffusamente indolenziti e mobilizzazione passiva del polso sinistro limitata - e che, rispetto alla valutazione peritale del febbraio 2009, sussiste una tendenza fibromialgica alla spalla ed al braccio sinistro e la sintomatologia si è amplificata con riduzione della funzionalità del polso sinistro (doc. A 80-6). Il dott. E._______ ha quindi ritenuto sussistere - fermi restando una totale inabilità al lavoro dal 21 febbraio al 31 maggio 2011 e le risultanze di una RMN del polso sinistro del luglio del 2012 che depone per una recidiva del noto processo morboso (sinovite villo-nodulare pigmentosa) - una capacità al lavoro del 100%, tuttavia con una diminuzione di rendimento del 25%, nell'attività di operaia, definita leggera, esercitata per ultimo in una ditta di cosmetici, e ciò a decorrere dall'8 giugno 2012 (doc. A 88-3).</w:t>
      </w:r>
    </w:p>
    <w:p>
      <w:r>
        <w:rPr>
          <w:b/>
        </w:rPr>
        <w:t>E. 9.3</w:t>
      </w:r>
    </w:p>
    <w:p>
      <w:r>
        <w:t>Questo Tribunale osserva che nella sua valutazione peritale il dott. E._______ si è limitato, da un lato, all'apprezzamento della residua capacità della ricorrente in ambito lavorativo. Dall'altro lato, si è pronunciato unicamente riguardo alla possibilità per la ricorrente di esercitare un'attività leggera confacente allo stato di salute, segnatamente quella di operaia in una ditta di confezionamento di prodotti cosmetici svolta dalla medesima per ultimo. Il perito non ha per contro valutato né l'impedimento dell'insorgente a svolgere le consuete mansioni domestiche né l'incapacità della stessa in ambito lavorativo a svolgere le attività pesanti (come quelle precedentemente svolte di preparatrice di tomaie o di operaia generica in una fabbrica di cioccolato) e quelle medio-pesanti.</w:t>
      </w:r>
    </w:p>
    <w:p>
      <w:r>
        <w:rPr>
          <w:b/>
        </w:rPr>
        <w:t>E. 9.3.1</w:t>
      </w:r>
    </w:p>
    <w:p>
      <w:r>
        <w:t>Orbene, la valutazione del perito dott. E._______ - di una residua capacità lavorativa della ricorrente del 100%, con diminuzione di rendimento del 25%, nell'ultima attività, definita siccome leggera, da essa svolta presso una ditta di confezionamento di cosmetici - è stata certo genericamente contestata dall'insorgente medesima. Tuttavia, la stessa non ha presentato in sede ricorsuale alcun documento, tanto meno medico, da cui poter desumere che le conclusioni peritali su tale punto siano errate o si fondino su fatti inesatti od incompleti. Ciò non risulta neppure ad un esame d'ufficio dell'insieme degli atti di causa. Il fatto, in particolare, che dalle risultanze di una RMN del luglio 2012 (effettuata senza mezzo di contrasto) emerga l'ipotesi di una recidiva nel noto quadro morboso del polso sinistro (di sinovite villo-nodulare pigmentosa [l'ipotesi dovrebbe peraltro essere confermata mediante RMN con mezzo di contrasto; v., sulla questione, doc. A 85-2]) è stato preso in considerazione dal perito per la sua valutazione complementare del 22 ottobre 2012 con riferimento alla succitata residua capacità lavorativa. In assenza di documentazione probante di segno opposto in merito - che la ricorrente, dando prova della necessaria diligenza, avrebbe potuto e dovuto produrre di moto proprio - non vi è ragione di scostarsi dall'apprezzamento del perito dott. E._______ secondo cui al momento della pronuncia della decisione impugnata vi era dall'8 giugno 2012 una residua capacità lavorativa del 100%, con diminuzione del rendimento del 25%, nell'attività leggera di confezionatrice presso una ditta di cosmetici svolta per ultima dall'insorgente. Tale apprezzamento si fonda su esami, analisi e valutazioni rispettosi dei requisiti giurisprudenziali, apprezzamento confermato anche nel rapporto finale del SMR del 25 ottobre 2012.</w:t>
      </w:r>
    </w:p>
    <w:p>
      <w:r>
        <w:rPr>
          <w:b/>
        </w:rPr>
        <w:t>E. 9.3.2</w:t>
      </w:r>
    </w:p>
    <w:p>
      <w:r>
        <w:t>Tuttavia, lo statuto della ricorrente essendo misto - essa, in assenza di affezioni, avrebbe consacrato il 70% ad un attività lavorativa e per il 30% si sarebbe occupata delle consuete mansioni domestiche - l'autorità inferiore non poteva decidere la causa, come invece ha fatto, senza effettuare ulteriori accertamenti con riferimento agli impedimenti nell'esercizio delle consuete mansioni domestiche. In effetti, da un lato, nelle perizie dell'agosto ed ottobre 2012 il dott. E._______ non si è pronunciato né sulla capacità della ricorrente di svolgere lavori pesanti e medio-pesanti né più specificatamente sugli impedimenti della ricorrente in ambito domestico. Dall'altro lato, il calcolo del raffronto dei redditi in ambito lavorativo non è stato effettuato correttamente (per i motivi che saranno indicati di seguito). In conclusione, non erano adempite le condizioni per poter rinunciare all'effettuazione di un'inchiesta domiciliare, come l'autorità inferiore ha ritenuto a torto nella decisione impugnata.</w:t>
      </w:r>
    </w:p>
    <w:p>
      <w:r>
        <w:rPr>
          <w:b/>
        </w:rPr>
        <w:t>E. 9.3.2.1</w:t>
      </w:r>
    </w:p>
    <w:p>
      <w:r>
        <w:t>Questo Tribunale osserva che per l'effettuazione del calcolo del raffronto dei redditi è necessario determinare quale fosse l'attività abituale della ricorrente e quale quella/quelle sostitutive esigibili. Nelle perizie del dott. E._______ e nel rapporto finale del SMR, l'attività abituale della ricorrente è stata considerata quella leggera svolta per ultima in una fabbrica di cosmetici. In tale caso, il raffronto dei redditi si sarebbe di fatto limitato ad un "Prozentvergleich" con un grado d'invalidità in ambito lavorativo pari al 25%, corrispondente alla ritenuta limitazione di rendimento. Se, per contro, e come ha fatto senza spiegazione alcuna l'autorità inferiore nella decisione impugnata, si considerasse quale attività abituale dell'insorgente quella pesante svolta in una fabbrica di cioccolato e quale attività sostitutiva quella leggera svolta in una fabbrica di cosmetici, bisognerebbe allora procedere, contrariamente a quanto fatto dell'autorità inferiore nella presente procedura, all'effettuazione del parallelismo dei redditi (che peraltro l'autorità inferiore stessa aveva effettuato nell'ambito della prima domanda di rendita della ricorrente [v. doc. A 43-6 {gap salariale}]), con la conseguenza che il grado d'invalidità in ambito salariale, con valori 2010 aggiornati al 2012, sarebbe del 18,32% ([25'858-19'091.65] x 100 : 25'858 = 26,17% x 0.70 = 18,32%), con un adattamento della riduzione giurisprudenziale per fattori professionali e personali del 10%, e non dell'8% (tale riduzione dovendo costituire un multiplo di 5% [v., sulla questione, la sentenza del TF 9C_179/2013 del 26 agosto 2013 consid. 5.5). Il menzionato parallelismo dei redditi si giustifica per il fatto che il reddito nettamente inferiore alla media conseguito dall'insorgente come operaia in una fabbrica di cioccolato è da imputare al fatto che le sue necessità economiche (v.doc. A 64-1 e 60-2), le scarse qualifiche professionali (la ricorrente non è in possesso di alcun attestato di capacità professionale e, prima di essere assunta alle dipendenze di una fabbrica di cioccolato, ha lavorato per 16 anni in una fabbrica di calzature ed è stata licenziata a seguito di ristrutturazione interna; v. doc. C 19-1) e la situazione familiare (doc. A 64-1), le hanno imposto di accettare un lavoro con un reddito inferiore alla media. In conclusione, siccome per i motivi precedentemente indicati, il grado d'invalidità della ricorrente in ambito lavorativo non può essere inferiore al 18,32% - e non dell'1% come ritenuto a torto dall'autorità inferiore - la causa non poteva essere decisa senza l'effettuazione dell'inchiesta domiciliare (DTF 130 V 97) atta a determinare il grado d'impedimento nelle consuete mansioni domestiche. Infatti, sommando l'incapacità in ambito lavorativo con il possibile grado d'impedimento in ambito domestico (che nel caso concreto potrà essere al massimo del 30% [se del 100% rapportato alla quota parte del 30% quale casalinga]), non si può allo stato attuale degli atti di causa escludere a priori il raggiungimento di un grado d'invalidità uguale o superiore al 40%.</w:t>
      </w:r>
    </w:p>
    <w:p>
      <w:r>
        <w:rPr>
          <w:b/>
        </w:rPr>
        <w:t>E. 9.3.2.2</w:t>
      </w:r>
    </w:p>
    <w:p>
      <w:r>
        <w:t>Va altresì precisato, che in presenza di frontalieri va comunque di principio svolta un'inchiesta domiciliare conforme alla giurisprudenza (v., sulla questione, la sentenza del TF 9C_896/2012 del 31 gennaio 2013 consid. 4.1). Pertanto, e sempre di principio, non trova applicazione la giurisprudenza, applicabile per i cittadini residenti all'estero, secondo la quale vi si può eccezionalmente rinunciare (cfr. la sentenza del TF I 733/06 del 16 luglio 2007 consid. 4.2.2), non senza dimenticare che nel caso concreto non sono comunque adempite le condizioni indicate dalla giurisprudenza stessa per una rinuncia all'inchiesta domiciliare (ibidem). Infine, agli atti di causa non è altresì rintracciabile il formulario per gli assicurati occupati nell'economia domestica.</w:t>
      </w:r>
    </w:p>
    <w:p>
      <w:r>
        <w:rPr>
          <w:b/>
        </w:rPr>
        <w:t>E. 10</w:t>
      </w:r>
    </w:p>
    <w:p>
      <w:r>
        <w:t>Da quanto esposto, discende che la decisione impugnata, fondata su un insufficiente accertamento dei fatti giuridicamente rilevanti, viola il diritto federale ed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sono pertanto rinviati all'autorità inferiore affinché la stessa proceda a completare l'accertamento dei fatti determinanti. In particolare, l'UAIE dovrà, e in un primo passo, far accertare dal profilo medico la residua capacità della ricorrente a svolgere attività pesanti e medio-pesanti presenti anche nello svolgimento delle mansioni domestiche (cfr., sulla possibilità di rinvio all'autorità inferiore in siffatte circostanze, DTF 137 V 201 consid. 4.4.1.4), e poi far effettuare un'inchiesta domiciliare rispondente ai criteri giurisprudenziali in merito all'impedimento della ricorrente a svolgere le mansioni consuete di casalinga, problematica che non è finora stato oggetto di un sufficiente accertamento. L'autorità inferiore emanerà poi una nuova decisione.</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17 gennaio 2013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della medesima volta all'ottenimento di una rendita dell'assicurazione svizzera per l'invalidità. Non era pertanto necessario conferire alla ricorrente la facoltà di ritirare il proprio gravame.</w:t>
      </w:r>
    </w:p>
    <w:p>
      <w:r>
        <w:rPr>
          <w:b/>
        </w:rPr>
        <w:t>E. 12.1</w:t>
      </w:r>
    </w:p>
    <w:p>
      <w:r>
        <w:t>Visto l'esito della causa, non sono prelevate delle spese processuali (art. 63 PA). L'anticipo equivalente alle presunte spese processuali di fr. 400.-, versato l'8 marzo 2013, sarà restituito alla ricorrente allorquando la presente sentenza sarà cresciuta in giudicato.</w:t>
      </w:r>
    </w:p>
    <w:p>
      <w:r>
        <w:rPr>
          <w:b/>
        </w:rPr>
        <w:t>E. 12.2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