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C-8461/2010 vom 20. Juni 2013</w:t>
      </w:r>
    </w:p>
    <w:p>
      <w:r>
        <w:t>Bundesverwaltungsgericht, 2013-06-20, DE</w:t>
      </w:r>
    </w:p>
    <w:p>
      <w:r>
        <w:rPr>
          <w:b/>
        </w:rPr>
        <w:t xml:space="preserve">Quelle: </w:t>
      </w:r>
      <w:r>
        <w:t>https://mcp.opencaselaw.ch/entscheid/bvger_C-8461_2010</w:t>
      </w:r>
    </w:p>
    <w:p>
      <w:r>
        <w:t>FR: TAF C-8461/2010 du 20 juin 2013</w:t>
      </w:r>
    </w:p>
    <w:p>
      <w:r>
        <w:t>IT: TAF C-8461/2010 del 20 giugno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nach Art. 32 VGG liegt nicht vor.</w:t>
      </w:r>
    </w:p>
    <w:p>
      <w:r>
        <w:rPr>
          <w:b/>
        </w:rPr>
        <w:t>E. 1.2</w:t>
      </w:r>
    </w:p>
    <w:p>
      <w:r>
        <w:t>Angefochten sind zwei Allgemeinverfügungen des BLW vom 9. November 2010, mit welchen die Aufnahme des deutschen Pflanzenschutzmittels «D._______ N._______» mit dem Wirkstoff B.________ ([...] g/l) sowie des deutschen Pflanzenschutzmittels «G._______ B.________ &amp; C.________» mit den Wirkstoffen B.________ ([...] g/l) und C.________ ([...] g/l) in die Liste der nicht bewilligungspflichtigen Pflanzenschutzmittel gemäss Art. 32 PSMV angeordnet wurde. Insoweit mit Wiedererwägungsverfügung vom 19. April 2011 die Vorinstanz ihre Allgemeinverfügung vom 9. November 2010 betreffend G._______ B.________ &amp; C.________ in Wiedererwägung gezogen hat, handelt es sich für das vorliegende Verfahren um einen blossen Antrag ohne weitergehende rechtliche Wirkungen, zumal mit Verfügung vom 19. April 2011 den Beschwerdebegehren nicht entsprochen worden ist (vgl. dazu August Mächler, in: Auer/Müller/Schindler [Hrsg.], Kommentar zum Bundesgesetz über das Verwaltungsverfahren, Zürich 2008, Rz. 19 zu Art. 58). Die Verwaltungsakte des BLW vom 9. November 2010 sind als Allgemeinverfügungen Verfügungen im Sinne von Art. 5 Abs. 1 VwVG gleichzustellen (vgl. Ulrich Häfelin/Georg Müller/Felix Uhlmann, Allgemeines Verwaltungsrecht, 6. Auflage, Zürich/St. Gallen 2010, Rz. 925, BGE 125 I 313 E. 2b mit Hinweisen und Urteil des Bundesgerichts 2A.99/2002 vom 13. September 2002 E. 1).</w:t>
      </w:r>
    </w:p>
    <w:p>
      <w:r>
        <w:rPr>
          <w:b/>
        </w:rPr>
        <w:t>E. 1.3</w:t>
      </w:r>
    </w:p>
    <w:p>
      <w:r>
        <w:t>Die Beschwerdeführerin hat fristgerecht Beschwerde erhoben (Art. 50 VwVG). Das Bundesverwaltungsgericht hat bereits in seinen Urteilen C-3952/2008 und C-3953/2008 (je vom 16. Dezember 2011, jeweils E. 1.3) die Unterschriftsberechtigung der vorliegend die Beschwerde unterzeichnenden K._______, Geschäftsbereichsleiter [...] und Mitglied der Geschäftsleitung der A._______ AG, und Dr. L._______, technischer Leiter der A._______ AG, bejaht. Die Beschwerdeführerin hat am Verfahren vor der Vorinstanz teilgenommen, ist durch die angefochtene Allgemeinverfügung als Inhaberin der Erstbewilligung für das Inverkehrbringen der Referenzprodukte «E._______» und «F._______» und Vertreiberin dieser Pflanzenschutzmittel besonders berührt und hat ein schutzwürdiges Interesse an deren Änderung oder Aufhebung, so dass sie zur Beschwerde legitimiert ist (Art. 48 Abs. 1 VwVG; vgl. Urteile des Bundesverwaltungsgerichts C-599/2007 vom 16. November 2007, E. 2.2; C-671/2007 vom 19. August 2008, E. 1.2; C-8602/2007 vom 29. Januar 2010, E. 1.3; je mit Hinweisen). Nachdem auch der eingeforderte Kostenvorschuss fristgerecht geleistet wurde, sind sämtliche Prozessvoraussetzungen erfüllt, und es ist auf die vorliegende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wendet das Recht von Amtes wegen an (vgl. Urteil des Bundesverwaltungsgerichts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mit Hinweisen und Urteil des BundesverwaltungsgerichtsA-3545/2010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w:t>
      </w:r>
    </w:p>
    <w:p>
      <w:r>
        <w:rPr>
          <w:b/>
        </w:rPr>
        <w:t>E. 3</w:t>
      </w:r>
    </w:p>
    <w:p>
      <w:r>
        <w:t>Nachfolgend ist in einem ersten Schritt darzulegen, welche Rechtsnormen im vorliegenden Fall in zeitlicher Hinsicht zur Anwendung gelangen.</w:t>
      </w:r>
    </w:p>
    <w:p>
      <w:r>
        <w:rPr>
          <w:b/>
        </w:rPr>
        <w:t>E. 3.1</w:t>
      </w:r>
    </w:p>
    <w:p>
      <w:r>
        <w:t>Im Rahmen der am 1. Januar 2008 in Kraft getretenen Revision des LwG (AS 2007 6095) wurde Art. 160a LwG eingeführt,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 Im Folgenden ist vorab zu prüfen, ob die ab 1. Januar 2008 bis Ende Juni 2011 in Kraft gestandenen oder die am 1. Juli 2011 in Kraft getretenen neuen Bestimmungen über den Parallelimport im vorliegenden Beschwerdeverfahren anwendbar sind.</w:t>
      </w:r>
    </w:p>
    <w:p>
      <w:r>
        <w:rPr>
          <w:b/>
        </w:rPr>
        <w:t>E. 3.2</w:t>
      </w:r>
    </w:p>
    <w:p>
      <w:r>
        <w:t>Gemäss Lehre und bundesgerichtlicher Rechtsprechung ist grundsätzlich vom Rechtszustand auszugehen, wie er sich im Zeitpunkt des Erlasses der angefochtenen Verfügung (hier: zwei Allgemeinverfügungen vom 9. November 2010) dargestellt hat - soweit nicht Übergangsbestimmungen eine andere Regelung vorsehen (zu den allgemeinen intertemporalrechtlichen Grundsätzen vgl. etwa BGE 125 II 591 E. 5e/aa mit Hinweisen), wobei das Problem der zeitlichen Geltung von Rechtserlassen im Allgemeinen weniger akut ist bei Ausführungsverordnungen, welche definitionsgemäss keine einschneidenden Änderungen herbeiführen sollten, als bei Gesetzen im formellen Sinne (vgl. Urteil des Bundesgerichts 2C_117/2010 vom 17. August 2010 E. 2.2).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im Bereich des Gewässerschutz-, Natur-, Heimat- und Umweltschutzrechts der Fall ist (vgl. BGE 135 II 384 E. 2.3, BGE 129 II 497 E. 5.3.2, je mit Hinweisen; Ulrich Häfelin/Georg Müller/Felix Uhlmann, Allgemeines Verwaltungsrecht, 6. Auflage, Zürich/St. Gallen 2010, Rz. 322 ff., S. 69 ff.). Dies ist zum Beispiel dann der Fall, wenn in diesen Bereichen eine Verschärfung des Gesetzes eingeführt wird (vgl. BGE 125 II 591 E. 5e/aa). Im Weiteren führte es zu nichts, eine Bewilligung oder deren Änderung aufzuheben, weil sie dem alten Recht widerspricht, während sie nach neuem Recht auf Gesuch hin oder von Amtes wegen zu erteilen bzw. zu verfügen wäre (siehe BGE 127 II 306 E. 7c mit Hinweisen).</w:t>
      </w:r>
    </w:p>
    <w:p>
      <w:r>
        <w:rPr>
          <w:b/>
        </w:rPr>
        <w:t>E. 3.3</w:t>
      </w:r>
    </w:p>
    <w:p>
      <w:r>
        <w:t>Bereits mit Blick auf die seit 1. Januar 2008 geltende Rechtslage fanden sich im LwG keine Übergangsbestimmungen, welche die sofortige Anwendung der ab 1. Januar 2008 in Kraft getretenen Bestimmungen in laufenden Beschwerdeverfahren vorsehen. So schrieb Art. 187 Abs. 1 LwG nur vor, dass aufgehobene Bestimmungen auf alle während ihrer Geltungsdauer eingetretenen Tatsachen noch anwendbar sind, mit Ausnahme von Verfahrensvorschriften, und enthielt Art. 187c LwG als spezifische Übergangsbestimmung zur Änderung des Gesetzes vom 22. Juni 2007 lediglich Vorschriften zur Verarbeitung und Kennzeichnung von Weinen des Jahrgangs 2007 und früherer Jahrgänge (Abs. 1) und zur Verarbeitung der Zuckerrübenernte 2008 (Abs. 2). Daran hat sich nach In-Kraft-Treten der neuen PSMV am 1. Juli 2011 nichts geändert. Auch finden sich weder in der von 1. Januar 2008 bis Ende Juni 2011 gültig gewesenen noch in der seit 1. Juli 2011 in Kraft stehenden Fassung der PSMV Übergangsbestimmungen, welche die sofortige Anwendung der neuen Bestimmungen in laufenden Beschwerdeverfahren vorsahen resp. vorsehen und im Zusammenhang mit der Einführung des Parallelimportes stehen (vgl. Art. 70 ff. PSMV in der von 1. August 2005 bis 31. Dezember 2007 in Kraft gestandenen Fassung [ausser der Sachüberschrift von Art. 72 PSMV nicht geändert durch die Änderungen vom 21. November 2007 {in Kraft von 1. Januar 2008 bis 30. Juni 2011}]; Art. 86 PSMV in der seit 1. Juli 2011 in Kraft stehenden Fassung). Vorliegend sind keine Gründe ersichtlich, welche zwingend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hierzu Entscheid des BVGer C-8602/2007 vom 29. Januar 2010, E. 3.2.3). Daran hat die am 1. Juli 2011 in Kraft getretene neue PSMV nichts geändert. Damit ist der vorliegende Rechtsstreit mit Blick auf das Datum der angefochtenen Allgemeinverfügungen vom 9. November 2010 im Lichte jener Fassung der PSMV zu prüfen, welche zwischen dem 1. Januar 2008 und dem 30. Juni 2011 in Kraft stand (AS 2007 6291 [Änderungen vom 21. November 2007; diese bezogen sich auf die vom 1. August 2005 bis 31. Dezember 2007 in Kraft gewesenen Fassung [AS 2005 3035]). Im Sinne einer Ergänzung ist jedoch festzuhalten, dass auch die Anwendung der am 1. Juli 2011 in Kraft getretenen neuen Bestimmungen der PSMV am Ergebnis nichts zu ändern vermöchten (vgl. E. 7 hiernach).</w:t>
      </w:r>
    </w:p>
    <w:p>
      <w:r>
        <w:rPr>
          <w:b/>
        </w:rPr>
        <w:t>E. 4.1</w:t>
      </w:r>
    </w:p>
    <w:p>
      <w:r>
        <w:t>Die Beschwerdeführerin führt beschwerdeweise aus, die Vorinstanz habe die in der Eingabe vom 14. Juli 2010 geäusserten Argumente, weshalb die Parallelimportprodukte mit den Wirkstoffen bzw. Wirkstoffkombinationen B.________ [...] g/l und B.________ [...] g/l &amp; C.________ [...] g/l nicht auf die Liste gesetzt werden sollten, zu wenig beachtet, weshalb nun die Allgemeinverfügungen angefochten werden müssten (B-act. 1). Sollte die Beschwerdeführerin im Umstand, dass sich die Vorinstanz vor Verfügungserlass nicht weiter zur Eingabe der Beschwerdeführerin vom 14. Juli 2010 geäussert hat, eine Verletzung des rechtlichen Gehörs erblickt haben, ist Folgendes festzuhalten:</w:t>
      </w:r>
    </w:p>
    <w:p>
      <w:r>
        <w:rPr>
          <w:b/>
        </w:rPr>
        <w:t>E. 4.2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4.3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der Produkte «D._______ N._______» PI 0[.....]-00/0[..] und «G._______ B.________ &amp; C.________» PI 00[....]-00/0[..] in die Liste beabsichtige, sich jedoch vor Erlass der angefochtenen Allgemeinverfügung vom 9. November 2010 zu den Vorbringen der Beschwerdeführerin in der Eingabe vom 14. Juli 2010 nicht geäussert hatte, fragt sich, ob dadurch der Anspruch auf rechtliches Gehör verletzt worden war bzw. die Verletzung des Gehörsanspruchs - welcher formeller Natur ist - ungeachtet der Erfolgsaussichten in der Sache selbst zur Aufhebung der angefochtenen Allgemeinverfügungen vom 9. November 2010 führt. Diese Fragen können jedoch letztlich offen gelassen werden (anders: Urteil des Bundesverwaltungsgerichts C-8602/2007 vom 29. Januar 2010, E. 2.). Dies aus folgenden Gründen:</w:t>
      </w:r>
    </w:p>
    <w:p>
      <w:r>
        <w:rPr>
          <w:b/>
        </w:rPr>
        <w:t>E. 4.4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431 E. 3d/aa, 126 V 130 E. 2).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2.2 hiervor), und weil die Beschwerdeführerin im Rahmen ihrer Beschwerde vom 8. Dezember 2010 (B-act. 1) sowie ihrer Replik vom 1. Juli 2011 (B-act. 13) Gelegenheit zur Stellungnahme erhalten und sich die Vorinstanz in ihrer Vernehmlassung vom 14. April 2011 (B-act. 9) sowie ihrer Duplik vom 19. August 2011 (B-act. 15) mit den Vorbringen der Beschwerdeführerin ausführlich auseinander gesetzt hat, ist die - wenn überhaupt - nicht besonders schwerwiegende Verletzung des rechtlichen Gehörs im vorliegenden Verfahren als geheilt zu betrachten und auf eine Rückweisung der Sache an die Vorinstanz zu verzichten - umso mehr, als eine solche hier ohnehin zu einem formalistischen Leerlauf führen und das Verfahren zusätzlich verzögert würde.</w:t>
      </w:r>
    </w:p>
    <w:p>
      <w:r>
        <w:rPr>
          <w:b/>
        </w:rPr>
        <w:t>E. 5</w:t>
      </w:r>
    </w:p>
    <w:p>
      <w:r>
        <w:t>Im Folgenden werden die vorliegend zur Anwendung gelangenden Rechtsnormen wiedergegeben:</w:t>
      </w:r>
    </w:p>
    <w:p>
      <w:r>
        <w:rPr>
          <w:b/>
        </w:rPr>
        <w:t>E. 5.1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5.2</w:t>
      </w:r>
    </w:p>
    <w:p>
      <w:r>
        <w:t>Die Zulassung kann nach Art. 5 PSMV namentlich aufgrund eines Be­willigungsverfahrens (3. Kapitel, 2. bis 5. Abschnitt PSMV) ergehen, oder aber - wie vorliegend - mittels Allgemeinverfügung durch die Aufnahme in die Liste von im Ausland zugelassenen Pflanzenschutzmitteln, die in der Schweiz bewilligten Pflanzenschutzmitteln entsprechen (3. Kapitel, 8. Abschnitt PSMV). Daneben gibt es die besondere Zulassung zur Bewältigung von Ausnahmesituationen (3. Kapitel, 7. Abschnitt PSMV).</w:t>
      </w:r>
    </w:p>
    <w:p>
      <w:r>
        <w:rPr>
          <w:b/>
        </w:rPr>
        <w:t>E. 5.3</w:t>
      </w:r>
    </w:p>
    <w:p>
      <w:r>
        <w:t>Die Zulassung eines im Ausland zugelassenen Pflanzenschutzmittels durch Aufnahme in die Liste setzt gemäss Art. 32 Abs. 2 PSMV (in der ab 1. Januar 2008 bis Ende Juni 2011 in Kraft gestandenen Fassung) kumulativ voraus, dass - in der Schweiz ein Pflanzenschutzmittel bewilligt ist, das gleichartige wertbestimmende Eigenschaften, namentlich den gleichen Gehalt an Wirkstoffen, aufweist und zum gleichen Zubereitungstyp gehört (Bst. a), - das Pflanzenschutzmittel im Ausland auf Grund gleichwertiger Anforderungen zugelassen ist und die agronomischen und umweltrelevanten Voraussetzungen für seinen Einsatz mit jenen in der Schweiz ver­gleichbar sind (Bst. b), - aufgehoben (Bst. c), - das Pflanzenschutzmittel weder ein pathogener oder gentechnisch veränderter Mikro- oder Makroorganismus ist noch einen solchen enthält (Bst. d), - die Bewilligungsinhaberin des in der Schweiz bewilligten Pflanzenschutzmittels (Referenzprodukt) nicht glaubhaft machen konnte, dass dieses noch patentgeschützt ist und, wenn dies der Fall ist, dass das im Ausland zugelassene Pflanzenschutzmittel ohne Zustimmung des Patentinhabers nach Artikel 27b LwG in Verkehr gebracht wurde (Bst. e).</w:t>
      </w:r>
    </w:p>
    <w:p>
      <w:r>
        <w:rPr>
          <w:b/>
        </w:rPr>
        <w:t>E. 5.4</w:t>
      </w:r>
    </w:p>
    <w:p>
      <w:r>
        <w:t>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w:t>
      </w:r>
    </w:p>
    <w:p>
      <w:r>
        <w:rPr>
          <w:b/>
        </w:rPr>
        <w:t>E. 6</w:t>
      </w:r>
    </w:p>
    <w:p>
      <w:r>
        <w:t>Die Beschwerdeführerin macht geltend, die in den angefochtenen Allgemeinverfügungen genannten deutschen Pflanzenschutzmittel dürften nicht in die Liste aufgenommen werden, da nicht alle Voraussetzungen von Art. 32 Abs. 2 PSMV erfüllt seien. Nachfolgend sind demnach die kumulativ anwendbaren Zulassungsanforderungen von Art. 32 Abs. 2 PSMV zu prüfen und ist zu klären, ob die Vorinstanz die in Frage stehenden PSM «D._______ N._______» und «G._______ B._______ und C.________» zu Recht auf die Liste gesetzt hat.</w:t>
      </w:r>
    </w:p>
    <w:p>
      <w:r>
        <w:rPr>
          <w:b/>
        </w:rPr>
        <w:t>E. 6.1.1</w:t>
      </w:r>
    </w:p>
    <w:p>
      <w:r>
        <w:t>Mit der Vorinstanz ist unter Bezugnahme auf Art. 32 Abs. 2 Bst. a PSMV) festzustellen, dass das in Frage stehende PSM «D._______ N._______» in Deutschland in der im Internet aufgeschalteten Liste der erteilten Verkehrsfähigkeitsbescheinigungen für Parallelimportmittel des Bundesamtes für Verbraucherschutz und Lebensmittelsicherheit (BVL) unter der Zulassungsnummer: PI 0[.....]-00/0[..] aufgeführt ist (http://www.bvl.bund.de/DE/04_Pflanzenschutzmittel/01_Aufgaben/02_ZulassungPSM/01_ZugelPSM/psm_ZugelPSM_node.html genehmigungen_parallelhandel.xls, Stand: 10. Juni 2013, zuletzt besucht am 20. Juni 2013). Dies wird von der Beschwerdeführerin nicht bestritten. Weiter bestreitet die Beschwerdeführerin auch nicht, dass das Handelsprodukt «D._______ N._______» dem in der Schweiz bewilligten Pflanzenschutzmittel «E._______» entspricht. Die Voraussetzungen gemäss Art. 32 Abs. 2 Bst. a PSMV sind damit für die Allgemeinverfügung vom 9. November 2010 betreffend das Produkt «D._______ N._______» mit dem Wirkstoff B.________ [...] g/l EC erfüllt.</w:t>
      </w:r>
    </w:p>
    <w:p>
      <w:r>
        <w:rPr>
          <w:b/>
        </w:rPr>
        <w:t>E. 6.1.2</w:t>
      </w:r>
    </w:p>
    <w:p>
      <w:r>
        <w:t>Was die Gleichartigkeit des ebenfalls in Frage stehenden PSM «G._______ B.________ &amp; C.________» PI 00[....]-00/0[..] (inkl. mit Wiedererwägung vom 9. April 2011 korrigierter PI-Nummer PI 00[....]-00/0[..], vgl. B-act. 1.2 und 9a) mit dem in der Schweiz bewilligten Referenzprodukt «F._______» betrifft, ist Folgendes festzustellen und zu erwägen:</w:t>
      </w:r>
    </w:p>
    <w:p>
      <w:r>
        <w:rPr>
          <w:b/>
        </w:rPr>
        <w:t>E. 6.1.2.1</w:t>
      </w:r>
    </w:p>
    <w:p>
      <w:r>
        <w:t>In der in Deutschland aufgeschalteten Liste des BVL der erteilten Genehmigungen und Verkehrsfähigkeitsbescheinigungen für Parallelimportprodukte finden sich für das Deutsche Referenzmittel «F._______» (Zulassungsnummer 0[.....]-00) vier Parallelimportprodukte der Importeurin G._______ Trading B.V., je mit den Handelsnamen «G._______ C.________ &amp; B._______» (PI-0[.....]-00/0[..], 0[.....]-00/0[..], 0[.....]-00/0[..] und 0[.....]-00/0[..]; vgl. B-act. 9.2-11). Unter den in der angefochtenen Allgemeinverfügung zitierten PI-Num­mern 00[....]-00/0[..] bzw. 00[....]-00/[..] [Korrektur vom 19. April 2011]) sind in der Liste des BVL (genehmigungen_parallelhandel.xls, Stand: 10. Juni 2013, besucht am 20. Juni 2013) keine Parallelimportprodukte aufgeführt.</w:t>
      </w:r>
    </w:p>
    <w:p>
      <w:r>
        <w:rPr>
          <w:b/>
        </w:rPr>
        <w:t>E. 6.1.2.2</w:t>
      </w:r>
    </w:p>
    <w:p>
      <w:r>
        <w:t>Auf der Website der Firma G._______, Liste der Importzulassungen für Deutschland (http://www.G._______.com[ ..], Stand: 31. Juli 2012, besucht am 20. Juni 2013) finden sich als Parallelimportprodukte für das Deutsche Referenzmittel «F._______» die Handelsprodukte «G._______ B.________ &amp; C.________» unter den für Deutschland zugelassenen Parallelimportnummern PI 00[....]-00/0[..], PI 00[....]-00/0[..], PI 00[....]-00/0[..] und [..] 0[.....]-00/0[..]).</w:t>
      </w:r>
    </w:p>
    <w:p>
      <w:r>
        <w:rPr>
          <w:b/>
        </w:rPr>
        <w:t>E. 6.1.2.3</w:t>
      </w:r>
    </w:p>
    <w:p>
      <w:r>
        <w:t>In ihrer Vernehmlassung vom 14. April 2011 führte die Vorinstanz aus, das Handelsprodukt «G._______ B.________ &amp; C.________» sei in Deutschland nicht unter PI 00[....]-00/0[..] zugelassen, sondern unter PI 0[.....]-00/0[..]. Weiter führte sie sinngemäss aus, sie habe die diesbezügliche Allgemeinverfügung vom 9. November 2010 teilweise in Wiedererwägung gezogen und die offensichtlich falsche ausländische Zulassungsnummer durch die richtige Zulassungsnummer PI 0[.....]-00/0[..] ersetzt (B-act. 9 Ziff. 2.1.1, 2.5). Gestützt auf die im Bundesblatt vom 19. April 2011 veröffentlichte Wiedererwägung erweist sich, dass die "korrigierte" PI 00[....]-00/0[..] wiederum nicht der ausländischen Zulassungsnummer entspricht und auch der Name des Handelsprodukts nicht dem Eintrag in der deutschen Liste entspricht («G._______ B.________ &amp; C.________» statt «G._______ C.________ &amp; B._______»).</w:t>
      </w:r>
    </w:p>
    <w:p>
      <w:r>
        <w:rPr>
          <w:b/>
        </w:rPr>
        <w:t>E. 6.1.2.4</w:t>
      </w:r>
    </w:p>
    <w:p>
      <w:r>
        <w:t>Es ist demnach festzustellen, dass Widersprüche zwischen der deutschen Liste der zugelassenen Parallelimportprodukte und den Angaben in der angefochtenen Allgemeinverfügung inkl. ergänzender Wiedererwägung bestehen, und zwar bezüglich der Zulassungsnummer als auch bezüglich der Produktebezeichnung. Die Angaben in der angefochtenen Verfügung entsprechen - jedenfalls teilweise - den Angaben auf der Website der Firma G._______. Es findet sich indes in der Liste der deutschen Zulassungen von Parallelimportprodukten keine Alternative mit Verwechslungsmöglichkeit - weder aufgrund der in der Schweizer Allgemeinverfügung verzeichneten PI-Nummer, noch unter der in der Schweizer Allgemeinverfügung bezeichneten Produktebezeichnung. Zudem geht aus der deutschen Liste der zugelassenen Parallelimportprodukte hervor, dass das Produkt «G._______ C.________ &amp; B._______» dem deutschen Referenzmittel «F._______» entspricht. Unbestritten entspricht damit das in der angefochtenen Allgemeinverfügung zuzulassende Produkt «G._______ B.________ &amp; C.________» dem Schweizer Referenzprodukt «F._______» (B-act. 1.3 S. 9). Es handelt sich demnach um dasselbe Produkt. Die Beschwerdeführerin hat sich in ihrer Beschwerde und in ihrer Replik weder zur Frage der verschiedenen PI-Nummern noch zur Frage des gespiegelten Produktennamens in der angefochtenen Allgemeinverfügung geäussert (vgl. zur abweichenden Produktebezeichnung und PI-Nummer bereits das Schreiben vom 14. Mai 2010, B-act. 9.1-5). Sie hat auch die "Wiedererwägung" vom 19. April 2011 (B-act. 9a) - mit der abweichenden PI-Nummer zur deutschen Parallelimportzulassungsliste - nicht angefochten. Entsprechend erweist sich die falsche Zulassungsnummer und der gespiegelte Name des Produkts - je im Vergleich zur massgeblichen deutschen Liste - für die hier in Frage stehende Zulassung als unbeachtlich. Die Vorinstanz ist aber aufzufordern, die Zulassung bezüglich der PI-Nummer und des Produktenamens zu überprüfen und entsprechend zu korrigieren.</w:t>
      </w:r>
    </w:p>
    <w:p>
      <w:r>
        <w:rPr>
          <w:b/>
        </w:rPr>
        <w:t>E. 6.1.2.5</w:t>
      </w:r>
    </w:p>
    <w:p>
      <w:r>
        <w:t>Unter diesen Umständen ist in Bezug auf Art. 32 Abs. 2 Bst. a PSMV festzustellen, dass das in Frage stehende PSM «G._______ B.________ &amp; C.________» PI 00[....]-00/[..] unter der Zulassungsnummer «G._______ C.________ &amp; B.________» PI 0[.....]-00/[..] in Deutschland in der im Internet aufgeschalteten Liste der erteilten Verkehrsfähigkeitsbescheinigungen für Parallelimportmittel des BVL aufgeführt ist (http://www.bvl.bund.de/DE/04_Pflanzenschutzmittel/01_Auf­gaben/02_ZulassungPSM/01_ZugelPSM/psm_ZugelPSM_node.html, genehmigungen_parallelhandel.xls, zuletzt besucht am 20. Juni 2013), was die Beschwerdeführerin nicht bestreitet. Ebenfalls unbestritten bleibt, dass das Handelsprodukt «G._______ B.________ &amp; C.________» bzw. «G._______ C.________ &amp; B._______» dem in der Schweiz bewilligten Pflanzenschutzmittel «E._______» entspricht. Die Voraussetzungen gemäss Art. 32 Abs. 2 Bst. a PSMV sind damit auch für die Allgemeinverfügung vom 9. November 2010 betreffend das Produkt «G._______ B.________ &amp; C.________» mit den Wirkstoffen B.________ [...] g/l &amp; C.________ [...] g/l EC erfüllt.</w:t>
      </w:r>
    </w:p>
    <w:p>
      <w:r>
        <w:rPr>
          <w:b/>
        </w:rPr>
        <w:t>E. 6.2</w:t>
      </w:r>
    </w:p>
    <w:p>
      <w:r>
        <w:t>Die Beschwerdeführerin bestreitet ebensowenig die Ausführungen der Vorinstanz, dass die Handelsprodukte «D._______ N._______» und «G._______ B.________ &amp; C.________» in Deutschland aufgrund gleichwertiger Anforderungen zugelassen worden und die agronomischen und umweltrelevanten Voraussetzungen für ihren Einsatz mit jenem für die Schweiz vergleichbar seien, sowie die Verweise auf die ständige Praxis und Rechtsprechung zu den Anforderungen an die Zulassung von Pflanzenschutzmitteln in der Schweiz und in den Staaten der Europäischen Gemeinschaft, wonach davon auszugehen sei, dass die Zulassung weitgehend identisch, zumindest aber - hinsichtlich des Schutzniveaus - gleichwertig seien (B-act. 9 Ziff. 3.2.2 mit Hinweisen auf die Richtlinie 91/414/EWG [ABl. 1991 L 230, 1; und Weitere] sowie Urteil C-8602/2007 des Bundesverwaltungsgerichts vom 29. Januar 2010 E. 4.1). Da sich vorliegend keine Hinweise dafür ergeben, dass die agronomischen und umweltrelevanten Bedingungen in Deutschland sich in relevanter Weise von den Schweizer Verhältnissen unterscheiden würden, und auch die Beschwerdeführerin diesbezüglich nichts Gegensätzliches vorbringt, sind die Aufnahmevoraussetzungen - für die Handelsprodukte «D._______ N._______» und «G._______ B.________ &amp; C.________» - nach Art. 32 Abs. 2 Bst. b PSMV erfüllt.</w:t>
      </w:r>
    </w:p>
    <w:p>
      <w:r>
        <w:rPr>
          <w:b/>
        </w:rPr>
        <w:t>E. 6.3</w:t>
      </w:r>
    </w:p>
    <w:p>
      <w:r>
        <w:t>Von den Parteien im Weiteren nicht bestritten wird, dass die fraglichen PSM «D._______ N._______» und «G._______ B.________ &amp; C.________» weder ein pathogener oder gentechnisch veränderter Mikro- oder Makroorganismus sind noch einen solchen enthalten. Damit ist auch die Aufnahmevoraussetzung gemäss Art. 32 Abs. 2 Bst. d PSMV erfüllt.</w:t>
      </w:r>
    </w:p>
    <w:p>
      <w:r>
        <w:rPr>
          <w:b/>
        </w:rPr>
        <w:t>E. 6.4</w:t>
      </w:r>
    </w:p>
    <w:p>
      <w:r>
        <w:t>Somit bleibt die Prüfung, ob die Aufnahmevoraussetzungen gemäss Art. 32 Abs. 2 Bst. e PSMV für die beiden Handelsprodukte erfüllt sind, was die Beschwerdeführerin bestreitet.</w:t>
      </w:r>
    </w:p>
    <w:p>
      <w:r>
        <w:rPr>
          <w:b/>
        </w:rPr>
        <w:t>E. 6.4.1</w:t>
      </w:r>
    </w:p>
    <w:p>
      <w:r>
        <w:t>Die Beschwerdeführerin führte in ihrer Stellungnahme vom 14. Juli 2010 zum Wirkstoff B.________ [...] g/l (EC) sowie zur Wirkstoffkombination B.________ [...] g/l &amp; C.________ [...] g/l (EC; F._______) aus, diese Produkte stünden noch lange unter Patentschutz und die A._______ AG habe weder der Firma H.________ noch der Firma G._______ jemals das Einverständnis für die Vermarktung von «D._______ N._______» und von «G._______ B.________ &amp; C.________» in Deutschland gegeben (B-act. 1.3 S. 9). In der Beschwerde wiederholte sie ihre Ausführungen betreffend den Patentschutz des Wirkstoffs B.________ [...] g/l (EC) und reichte den entsprechenden Auszug aus dem Europäischen Patentregister für das europäische Patent (EP) für "J._______" sowie das anschliessend wirksame Ergänzende Schutzzertifikat (ESZ) für B.________ nach (B-act. 1.4). Ebenso reichte sie die entsprechenden Auszüge aus dem Patentregister für die "I.________" - B.________ und C.________ nach (B-act. 1.5). Sie wiederholte weiter, dass sie den Firmen H._______ und G._______ nie die Zustimmung zum Vertrieb der in Frage stehenden Produkte gegeben habe und ergänzte, die A.________ AG liefere der H._______ und der G._______ weder Wirkstoff noch fertig formuliertes Produkt. In der Replik führte sie zusätzlich aus, sie habe bezüglich B.________ keinerlei Beziehungen mit den Firmen H._______ und G._______ und diesen Firmen nie die Zustimmung dafür gegeben, die Produkte der Beschwerdeführerin zu vermarkten. Sie könne daher eine - nicht existierende Bewilligung - nicht belegen. Auf der anderen Seite vermarkte die A.________ AG natürlich ihre Produkte «E._______» (B.________ [...] g/l EC) und «F._______» (B.________ [...] g/l &amp; C.________ [...] g/l EC) selber in verschiedenen EWR-Staaten.</w:t>
      </w:r>
    </w:p>
    <w:p>
      <w:r>
        <w:rPr>
          <w:b/>
        </w:rPr>
        <w:t>E. 6.4.2</w:t>
      </w:r>
    </w:p>
    <w:p>
      <w:r>
        <w:t>Die Vorinstanz führte in der Vernehmlassung und der Duplik aus, die Beschwerdeführerin als Bewilligungsinhaberin der in der Schweiz bewilligten PSM «E._______» und «F._______» (Referenzprodukte) mache zwar die Tatsache glaubhaft, dass diese noch patentgeschützt seien. Sie er­bringe aber keinen Beweis dafür, dass die in Deutschland zugelassenen PSM «D._______ N._______» und «G._______ B.________ &amp; C.________» ohne Zustimmung der Patentinhaberin - A._______ Aktiengesellschaft, D-Z._______ - in Verkehr gebracht worden seien. Darüber hinaus lägen auch keine objektiven Anhaltspunkte dafür vor, die Zweifel an der Zustimmung der Patentinhaberin am Inverkehrbringen der genannten Produkte im europäischen Wirtschaftsraum wecken würden. Im Übrigen habe die Beschwerdeführerin in der Replik selbst bestätigt, dass sie die in der Schweiz bewilligten PSM «E._______» und «F._______» in verschiedenen Staaten des europäischen Wirtschaftsraums mit Zustimmung der ESZ-Inhaberin in Verkehr gebracht habe. Duplikweise ergänzte sie, die Regelung in Art. 32 Abs. 2 Bst. e PSMV sehe die Mitwirkungspflicht des Bewilligungsinhabers eines patentgeschützten Produkts vor, weil dieser mit dem Patentinhaber, welcher seinen Sitz oft im Ausland habe, in vertraglicher Beziehung stehe und von diesem ohne Weiteres die Beweismittel für illegales Inverkehrbringen seines Produktes erhalten könne. Der Vorinstanz sei es indes aufgrund des Territorialprinzips nicht möglich, diese Beweise zu beschaffen. Ein weiterer Grund dafür, dass kein Beweis für die Zustimmung des Patentinhabers erforderlich sei, liege auch darin, dass dieses Zustimmungserfordernis den Parallelimport nahezu verunmöglichen würde und auch die Importeure, welche ein im Ausland zugelassenes und sich auf dem dortigen Markt befindliches Produkt einführen wollten, kaum die Möglichkeit hätten, die Zustimmung des Patentinhabers zu beweisen. Aus diesen Gründen habe der Verordnungsgeber der Bewilligungsinhaberin eine abgeschwächte Beweisführungs- und Beweislast auferlegt, dass das im Ausland zugelassene PSM ohne Zustimmung des Patentinhabers nach Art. 27b LwG in Verkehr gebracht worden sei. Die Beweisführungslast trage die Bewilligungsinhaberin aber auch, da sie zivilrechtlich Patentrechtsverletzungen geltend mache. Es sei sachlich deshalb konsequent, dass die Vorinstanz im Zulassungsverfahren - quasi durch die Hintertür - nicht mit der zugegebenermassen schwierigen Beweisführung für die Patentrechtsverletzungen belastet werde.</w:t>
      </w:r>
    </w:p>
    <w:p>
      <w:r>
        <w:rPr>
          <w:b/>
        </w:rPr>
        <w:t>E. 6.4.3</w:t>
      </w:r>
    </w:p>
    <w:p>
      <w:r>
        <w:t>In Berücksichtigung der Ausführungen der Parteien ist unbestritten, dass die Beschwerdeführerin in genügendem Mass glaubhaft macht, dass für die in der Schweiz bewilligten Pflanzenschutzmittel «E._______» und «F._______» (Referenzprodukte) noch ein Patentschutz besteht.Was die gesetzliche Zusatzbedingung der umgekehrten Beweisführungslast bzw. Glaubhaftmachung betrifft, wonach die Bewilligungsinhaberin glaubhaft darzulegen hat, dass die im Ausland zugelassenen PSM ohne Zustimmung der Patentinhaberin nach Art. 27b LwG (i.V.m. Art. 32 Abs. 2 Bst. e PSMV) in Verkehr gebracht worden seien, ist festzustellen, dass die Beschwerdeführerin einzig geltend macht, sie könne die "Nichtbewilligungen" nicht beweisen, da solche eben gerade nicht existierten. Im Übrigen behauptet sie zu den Deutschland zugelassenen PSM «D._______ N._______» und «G._______ B.________ und C.________», sie habe bezüglich der in Frage stehenden Produkte keinerlei Beziehungen zu den Firmen H._______ und G._______. Belege dafür, dass sie selbst als Vertreiberin der zugelassenen Referenzprodukte - oder die A._______ AG, Z._______, als Patentinhaberin - sich gegen die Aufnahme der in Frage stehenden Handelsprodukte der Firma H._______ sowie der Firma G._______ in die deutsche "Liste der erteilten Genehmigungen und Verkehrsfähigkeitsbescheinigungen für den Parallelhandel" und die Vergabe von PI-Nummern gewehrt hätte (beispielsweise Schriftenwechsel mit der zuständigen deutschen Behörde) oder die - implizit im Allgemeinen behauptete - Patentverletzung (vgl. B-act. 13.1 S. 5) bekämpft hätte, hat sie nicht eingereicht (vgl. diesbezüglich bereits das Schreiben der Vorinstanz vom 14. Mai 2010, B-act. 9.1-1, letzter Absatz). Demnach gelingt es der Beschwerdeführerin nicht, glaubhaft darzulegen, dass die im Ausland zugelassenen Produkte «D._______ N._______» und «G._______ B.________ &amp; C.________» ohne die Zustimmung der Patentinhaberin A._______, Z._______, in Deutschland in Verkehr gebracht wurden, weshalb die Beschwerdeführerin die Folgen der Beweislosigkeit - bzw. vorliegend die Folgen der ungenügenden Glaubhaftmachung - trägt (vgl. Art. 8 des Schweizerischen Zivilgesetzbuchs vom 10. Dezember 1907 [ZGB, SR 210]).</w:t>
      </w:r>
    </w:p>
    <w:p>
      <w:r>
        <w:rPr>
          <w:b/>
        </w:rPr>
        <w:t>E. 6.4.4</w:t>
      </w:r>
    </w:p>
    <w:p>
      <w:r>
        <w:t>Unter diesen Umständen ist festzustellen, dass auch die Aufnahmevoraussetzung von Art. 32 Abs. 2 Bst. e PSMV erfüllt ist.</w:t>
      </w:r>
    </w:p>
    <w:p>
      <w:r>
        <w:rPr>
          <w:b/>
        </w:rPr>
        <w:t>E. 6.5</w:t>
      </w:r>
    </w:p>
    <w:p>
      <w:r>
        <w:t>Soweit die Beschwerdeführerin replikweise im Allgemeinen vorbringt, die Schweiz dürfe sich nicht auf die Entscheide und Kontrollen ausländischer Behörden verlassen, da so oft mit einer PI-Nummer versehene, falsch deklarierte oder gefälschte Produkte in Schweiz gelangen könnten, weshalb die Gefahr gross sei, dass der Anwender das Produkt falsch einsetzen könnte (B-act. 13 S. 5 f.), verkennt sie, dass im vorliegend in Frage stehenden Zulassungsverfahren gemäss Art. 33 PSMV nur die Voraussetzungen gemäss Art. 32 Abs. 2 PSMV zu prüfen sind (siehe oben E. 3.1 und 3.3, wonach die vorliegend anwendbare Regelung der PSMV [in Kraft seit 1. Januar 2008] im Nachgang zum räumlichen Geltungsbereich des Abkommens vom 21. Juni 1999 zwischen der Schweizerischen Eidgenossenschaft und der Europäischen Gemeinschaft über den Handel mit landwirtschaftlichen Erzeugnissen erlassen wurde und der Durchsetzung wirtschaftspolitischer Interessen diente, vgl. diesbezüglich auch die Ausführungen der Vorinstanz in der Duplik zur Ermöglichung von Parallelimporten von PSM, B-act. 12 Ziff. 3.1.1 sowie neurechtlich Ziff. 2]). Die Kontrolle der Produkteverpackung, der -kennzeichnung und der Erstellung und Abgabe von Sicherheitsdatenblättern sowie der vorschriftsgemässen Anwendung der Pflanzenschutzmittel erfolgt im Rahmen der nachträglichen Marktüberwachung, welche den Kantonen und nicht dem BLW obliegt (Art. 64 Abs. 1 und Abs. 2 Bst. b PSMV; siehe dazu die Ausführungen der Vorinstanz in der Duplik [B-act. 16 Ziff. 3.3] sowie ausführlich Urteil des Bundeverwaltungsgerichts C-3952/2008 vom 16. Dezember 2011 E. 5.4.4.1). Die entsprechenden Vorbringen der Beschwerdeführerin sind daher unbeachtlich.</w:t>
      </w:r>
    </w:p>
    <w:p>
      <w:r>
        <w:rPr>
          <w:b/>
        </w:rPr>
        <w:t>E. 6.6</w:t>
      </w:r>
    </w:p>
    <w:p>
      <w:r>
        <w:t>Dasselbe gilt für die Vorbringen der Beschwerdeführerin im Besonderen, es bestehe eine Verwechslungsgefahr des Parallelimport-Produkts «D._______ N._______» mit dem eigenen, in der Schweiz zugelassenen PSM «D._______». «D._______» dürfe in einigen Kulturen, in welchen «E._______» (entsprechend: «D._______ N._______») zugelassen sei, keinesfalls eingesetzt werden (B-act. 1.3 S. 9); und der replikweise vorgebrachten Ausführungen der Beschwerdeführerin, die Verwechslungsgefahr bestehe gemäss ihren Erfahrungen tatsächlich. Es sei natürlich so, dass der anwendende Landwirt seine Sorgfaltsflicht verletze, wenn er die Produkte verwechsle. Indes bestehe für die Beschwerdeführerin die Gefahr eines Reputationsschadens, wenn ihr "Brand" [Marke] «D._______» nur noch im Zusammenhang mit Kulturschäden genannt werde. Solche Komplikationen seien zu vermeiden, wenn das Produkt gar nicht auf der Liste der freiimportierbaren Produkte stehe. Vorliegend gilt ebenfalls, dass die Kontrolle der korrekten Anwendung unter die Marktüberwachung der Kantone fällt - und nicht mit der Zulassung gemäss 33 PSMV zu prüfen ist. Die Tatsache, dass die Bezeichnungen zweier - verschiedener - Produkte ähnlich sind, ändert im Übrigen nichts daran, dass der Anwender der Pflicht der richtigen Anwendung untersteht und ein Landwirt sich strafbar macht, wenn er einen entsprechenden Schaden produziert - bereits wenn er fahrlässig handelt. Zudem ist ergänzend zum Vorbringen der Beschwerdeführerin, es seien Komplikationen zu vermeiden, wenn das Produkt gar nicht auf der Liste stehe - anzumerken, dass ein ähnliches Problem bereits in Deutschland mit der Zulassung des Parallelimportprodukts «D._______ N._______» besteht, da sie selbst in Deutschland das Produkt «D._______ O._______» auf dem Markt hat (siehe http://[...], besucht am 20. Juni 2013). Wie bereits oben dargelegt wurde (6.4.3), hat sie nichts dazu vorgebracht oder vorgelegt, dass sie in Deutschland gegen die Zulassung von «D._______ N._______» vorgegangen wäre.</w:t>
      </w:r>
    </w:p>
    <w:p>
      <w:r>
        <w:rPr>
          <w:b/>
        </w:rPr>
        <w:t>E. 6.7</w:t>
      </w:r>
    </w:p>
    <w:p>
      <w:r>
        <w:t>Damit steht fest, dass vorliegend sämtliche Voraussetzungen für die Aufnahme der fraglichen deutschen Pflanzenschutzmittel «D._______ N._______» mit dem Wirkstoff B.________ [...] g/l, Formulierungstyp: EC Emulsionskonzentrat sowie «G._______ B.________ &amp; C.________», mit der Wirkstoffkombination B.________ [...] g/l und C.________ [...] g/l, Formulierungstyp: EC Emulsionskonzentrat, in die Liste erfüllt sind. Die angefochtenen Allgemeinverfügungen erweisen sich demnach als rechtmässig, weshalb die Beschwerde vom 8. Dezember 2010 abzuweisen ist. Die Vorinstanz ist indes aufzufordern, die Zulassung von «G._______ B.________ &amp; C.________» bzw. «G._______ C.________ &amp; B.________» korrekt zu erfassen (siehe oben E. 6.1.2.4).</w:t>
      </w:r>
    </w:p>
    <w:p>
      <w:r>
        <w:rPr>
          <w:b/>
        </w:rPr>
        <w:t>E. 7</w:t>
      </w:r>
    </w:p>
    <w:p>
      <w:r>
        <w:t>Wie bereits erwähnt (vgl. oben E. 3.3),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die Referenzprodukte «E._______» und «F._______» - welche mit Verfügungen vom 7. Mai 2008 bzw. 1. Dezember 2008 und vom 13. Juni 2006 (vgl. B-act. 9.4-21 - 25) zugelassen wurden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die im Ausland zugelassenen Pflanzenschutzmittel ohne Zustimmung einer ihrer ausländischen Vertreterinnen oder Lieferantinnen in Verkehr gebracht wurden (siehe hievor E. 6.4.3).</w:t>
      </w:r>
    </w:p>
    <w:p>
      <w:r>
        <w:rPr>
          <w:b/>
        </w:rPr>
        <w:t>E. 8</w:t>
      </w:r>
    </w:p>
    <w:p>
      <w:r>
        <w:t>Zu befinden bleibt über die Verfahrenskosten und eine allfällige Parteientschädigung.</w:t>
      </w:r>
    </w:p>
    <w:p>
      <w:r>
        <w:rPr>
          <w:b/>
        </w:rPr>
        <w:t>E. 8.1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2'500.- festgelegt und sind mit dem geleisteten Verfahrenskostenvorschuss in gleicher Höhe zu verrechnen.</w:t>
      </w:r>
    </w:p>
    <w:p>
      <w:r>
        <w:rPr>
          <w:b/>
        </w:rPr>
        <w:t>E. 8.2</w:t>
      </w:r>
    </w:p>
    <w:p>
      <w:r>
        <w:t>Weder die obsiegende Vorinstanz noch die unterliegende Beschwerdeführerin haben einen Anspruch auf eine Parteientschädigung (Art. 7 Abs. 3 VGKE und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