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C-8430/2007 vom 9. Dezember 2008</w:t>
      </w:r>
    </w:p>
    <w:p>
      <w:r>
        <w:t>Bundesverwaltungsgericht, 2008-12-09, FR</w:t>
      </w:r>
    </w:p>
    <w:p>
      <w:r>
        <w:rPr>
          <w:b/>
        </w:rPr>
        <w:t xml:space="preserve">Quelle: </w:t>
      </w:r>
      <w:r>
        <w:t>https://mcp.opencaselaw.ch/entscheid/bvger_C-8430_2007</w:t>
      </w:r>
    </w:p>
    <w:p>
      <w:r>
        <w:t>FR: TAF C-8430/2007 du 9 décembre 2008</w:t>
      </w:r>
    </w:p>
    <w:p>
      <w:r>
        <w:t>IT: TAF C-8430/2007 del 9 dicembre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telles notamment l'ordonnance du 14 janvier 1998 concernant l'entrée et la déclaration d'arrivée des étrangers (OEArr, RO 1998 194) abrogée par l'art. 39 de l'ordonnance du 24 octobre 2007 sur la procédure d'entrée et de visas (OPEV, RS 142.204) et l'ordonnance du 6 octobre 1986 limitant le nombre des étrangers (OLE, RO 1986 1791) abrogée par l'art. 91 de l'ordonnance du 24 octobre 2007 relative à l'admission, au séjour et à l'exercice d'une activité lucrative (OASA, RS 142.201).</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B.________ et A._______, directement touchés par la décision attaquée, ont qualité pour recourir (cf. art. 48 al. 1 PA). Leur recours, présenté dans la forme et les délais légaux, est recevable (cf. art. 50 et 52 PA).</w:t>
      </w:r>
    </w:p>
    <w:p>
      <w:r>
        <w:rPr>
          <w:b/>
        </w:rPr>
        <w:t>E. 2</w:t>
      </w:r>
    </w:p>
    <w:p>
      <w:r>
        <w:t>Sous réserve de dispositions différentes, tout étranger doit être muni, pour entrer en Suisse, d'un passeport et d'un visa (art. 1 al. 1 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lorsque l'étranger ne remplit pas les conditions d'entrée prévues à l'article premier (art. 14 al. 1 OEArr).</w:t>
      </w:r>
    </w:p>
    <w:p>
      <w:r>
        <w:rPr>
          <w:b/>
        </w:rPr>
        <w:t>E. 3.1</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14 al. 1 OEArr).</w:t>
      </w:r>
    </w:p>
    <w:p>
      <w:r>
        <w:rPr>
          <w:b/>
        </w:rPr>
        <w:t>E. 3.2</w:t>
      </w:r>
    </w:p>
    <w:p>
      <w:r>
        <w:t>L'autorité statue librement, dans le cadre des prescriptions légales et des traités avec l'étranger, sur l'octroi de l'autorisation de séjour ou d'établissement... (art. 4 LSEE).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4</w:t>
      </w:r>
    </w:p>
    <w:p>
      <w:r>
        <w:t>L'ODM a refusé l'autorisation d'entrée à Y._______, au motif que sa sortie du pays à l'échéance de son visa n'était pas suffisamment assurée.</w:t>
      </w:r>
    </w:p>
    <w:p>
      <w:r>
        <w:rPr>
          <w:b/>
        </w:rPr>
        <w:t>E. 4.1</w:t>
      </w:r>
    </w:p>
    <w:p>
      <w:r>
        <w:t>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ladite autorité se base sur les indices et l'évaluation précités pour appliquer l'art. 1 OEArr.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L'expérience a par ailleurs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Il n'est ainsi pas rare que des personnes au bénéfice d'un visa touristique ou de visite mettent à profit leur séjour sur le territoire helvétique pour y chercher un emploi ou y demeurer à un titre quelconque, et ce, en dépit de toutes les assurances données par celles et ceux qui, résidant régulièrement en Suisse, les avaient invitées et s'étaient - en toute bonne foi - portés garants de leur sortie ponctuelle de Suisse au terme du séjour envisagé.</w:t>
      </w:r>
    </w:p>
    <w:p>
      <w:r>
        <w:rPr>
          <w:b/>
        </w:rPr>
        <w:t>E. 4.2</w:t>
      </w:r>
    </w:p>
    <w:p>
      <w:r>
        <w:t>Expérience faite, en raison des conditions politiques, sociales et économiques qui y dominent, la Colombie fait partie des pays dont les ressortissants sont souvent tentés de ne pas rentrer dans leur pays d'origine à l'issue de leur séjour dans un pays étranger. Enlèvement, meurtre, extorsion, attentat font partie du quotidien. Le cartel de la drogue et les guérilleros armés, les fameuses "Forces armées révolutionnaires de Colombie" (FARC), renforcent l'insécurité ambiante. La situation des droits de l'homme est donc particulièrement problématique et si les groupes armés illégaux y contribuent pour beaucoup, les forces de sécurité commettent elles aussi des exactions. D'un point de vue socio-économique, en dépit d'une importante croissance durant la dernière décennie, le taux de chômage demeure préoccupant (près de 12%), tout autant que la sous-occupation (près de 36%). Quant au produit intérieur brut (PIB), il reste modeste, avec 3.144 USD par personne (cf. site du Ministère fédéral des Affaires étrangères de la République fédérale d'Allemagne: www.auswaertiges-amt.de &gt; Länder, Reisen und Sicherheit &gt; Kolumbien, état octobre 2007, consulté le 19 novembre 2008; cf. également arrêt du Tribunal administratif fédéral C-923/2006 du 9 mai 2008 consid. 4.3).</w:t>
      </w:r>
    </w:p>
    <w:p>
      <w:r>
        <w:rPr>
          <w:b/>
        </w:rPr>
        <w:t>E. 5</w:t>
      </w:r>
    </w:p>
    <w:p>
      <w:r>
        <w:t>L'autorité ne saurait toutefois se fonder sur la seule situation régnant dans le pays d'origine de la requérante, mais doit également prendre en considération les particularités du cas d'espèce.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5.1</w:t>
      </w:r>
    </w:p>
    <w:p>
      <w:r>
        <w:t>Âgée de vingt-quatre ans, Y._______ est jeune, célibataire et sans enfant. Etudiante en musicologie dans son pays d'origine, elle devrait prochainement achever son cursus académique, puisqu'elle suit actuellement, et selon toute vraisemblance, son neuvième semestre sur dix. Il semble toutefois ressortir implicitement des courriers au dossier qu'à l'issue de cette première formation, elle en débutera une autre. D'un point de vue professionnel, l'intéressée n'a donc pas d'attaches fortes dans son pays d'origine, attendu qu'il lui serait tout à fait possible de poursuivre des études supérieures en Suisse, d'autant plus que les invitants habitent dans le canton de Fribourg, à proximité immédiate du chef-lieu qui abrite une université.</w:t>
      </w:r>
    </w:p>
    <w:p>
      <w:r>
        <w:rPr>
          <w:b/>
        </w:rPr>
        <w:t>E. 5.2</w:t>
      </w:r>
    </w:p>
    <w:p>
      <w:r>
        <w:t>En Colombie, l'intéressée a manifestement encore son père, qui a trois enfants, parmi lesquels elle et sa soeur, dont elle partage l'appartement aux dires des recourants. De tels liens pourraient toutefois ne pas se révéler suffisamment forts pour la dissuader de rester en Suisse, d'autant moins que sa mère s'y trouve déjà. Il n'est de surcroît pas fait état d'un mariage imminent ou d'une relation sentimentale particulière.</w:t>
      </w:r>
    </w:p>
    <w:p>
      <w:r>
        <w:rPr>
          <w:b/>
        </w:rPr>
        <w:t>E. 5.3</w:t>
      </w:r>
    </w:p>
    <w:p>
      <w:r>
        <w:t>Sur le plan économique, la jeune femme a quelque argent, au vu des extraits de compte produits (4'390'433 pesos colombiens au 30 septembre 2007, soit environ CHF 2'400.-). Le Tribunal observe cependant que les déclarations au dossier sont difficilement compatibles entre elles, puisque son père prétend que sa fille est entièrement et exclusivement à sa charge, respectivement qu'elle dépend totalement de lui, tandis que les recourants allèguent financer ses études au moyen des allocations familiales qu'ils perçoivent en Suisse. De ce point de vue, un doute demeure sur les moyens financiers dont dispose réellement Y._______ pour subvenir à ses besoins en Colombie.</w:t>
      </w:r>
    </w:p>
    <w:p>
      <w:r>
        <w:rPr>
          <w:b/>
        </w:rPr>
        <w:t>E. 5.4</w:t>
      </w:r>
    </w:p>
    <w:p>
      <w:r>
        <w:t>En d'autres termes, la situation personnelle de l'invitée ne permet pas de renverser la présomption découlant des différences socio-économiques entre la Colombie et la Suisse et d'exclure l'hypothèse qu'elle demeure en Suisse à l'échéance de son visa pour s'y installer durablement. Aussi convient-il de rejeter le recours et de refuser l'entrée en Suisse de l'intéressée. Au demeurant, un refus d'autorisation d'entrée n'a pas pour conséquence d'empêcher Y._______ de revoir sa mère et son beau-père et de maintenir leurs relations, dans la mesure où ils peuvent se rencontrer en Colombie, nonobstant les inconvénients d'ordre pratique ou de convenance personnelle que cela pourrait engendrer.</w:t>
      </w:r>
    </w:p>
    <w:p>
      <w:r>
        <w:rPr>
          <w:b/>
        </w:rPr>
        <w:t>E. 6</w:t>
      </w:r>
    </w:p>
    <w:p>
      <w:r>
        <w:t>Par surabondance, il s'impose de relever que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L'expérience a en effet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Le refus d'une autorisation d'entrée ne remet cependant nullement en cause la bonne foi, l'honnêteté et la respectabilité de la personne résidant en Suisse qui invite un tiers et se porte garante de son retour au pays.</w:t>
      </w:r>
    </w:p>
    <w:p>
      <w:r>
        <w:rPr>
          <w:b/>
        </w:rPr>
        <w:t>E. 7</w:t>
      </w:r>
    </w:p>
    <w:p>
      <w:r>
        <w:t>Au vu de ce qui précède, il apparaît que la décision entreprise ne viole pas le droit fédéral et n'est pas inopportune (cf. art. 49 PA). Le recours est donc rejeté. Les frais de la procédure sont à la charge des recourants qui succombent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