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C-8423/2010 vom 18. August 2011</w:t>
      </w:r>
    </w:p>
    <w:p>
      <w:r>
        <w:t>Bundesverwaltungsgericht, 2011-08-18, FR</w:t>
      </w:r>
    </w:p>
    <w:p>
      <w:r>
        <w:rPr>
          <w:b/>
        </w:rPr>
        <w:t xml:space="preserve">Quelle: </w:t>
      </w:r>
      <w:r>
        <w:t>https://mcp.opencaselaw.ch/entscheid/bvger_C-8423_2010</w:t>
      </w:r>
    </w:p>
    <w:p>
      <w:r>
        <w:t>FR: TAF C-8423/2010 du 18 août 2011</w:t>
      </w:r>
    </w:p>
    <w:p>
      <w:r>
        <w:t>IT: TAF C-8423/2010 del 18 agosto 2011</w:t>
      </w:r>
    </w:p>
    <w:p>
      <w:pPr>
        <w:pStyle w:val="Heading2"/>
      </w:pPr>
      <w:r>
        <w:t>Regeste</w:t>
      </w:r>
    </w:p>
    <w:p>
      <w:r>
        <w:t>Visa Schengen</w:t>
      </w:r>
    </w:p>
    <w:p>
      <w:pPr>
        <w:pStyle w:val="Heading2"/>
      </w:pPr>
      <w:r>
        <w:t>Erwägungen</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4.2.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de Mongolie, A._______ est soumise à l'obligation du visa. 6.1. Dans la décision querellée, l'ODM a refusé d'autoriser l'entrée en Suisse de la prénommée principalement au motif que son départ à l'échéance du visa sollicité n'apparaissait pas suffisamment assuré. 6.2.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6.3. En l'occurrence, il ne faut pas perdre de vue que la Mongolie reste un pays pauvre, dont le quart du revenu national provient de dons internationaux et le PIB par habitant ne s'élève qu'à USD 1'554 (source : www.diplomatie.gouv.fr &gt; Pays-zones géo &gt; Mongolie &gt; Présentation de la Mongolie, visité le 21 juin 2011), alors que celui de la Suisse se monte à plus de CHF 60'000 (cf. www.bfs.admin.ch &gt; Economie nationale &gt; Produit intérieur brut). Ces conditions économiques défavorables, dont les conséquences se font sentir sur le niveau de la qualité de vie, que connaît la majeure partie de la population,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6.4. Ainsi, on ne saurait d'emblée écarter les craintes émises par l'ODM que l'intéressée ne cherche à prolonger son séjour en Suisse au-delà de la validité du visa sollicité.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p. 345).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6.5. En vue de démontrer que son retour en Mongolie était suffisamment assuré, A._______ a allégué, dans son mémoire de recours du 7 décembre 2010, qu'elle y bénéficiait d'une rente de retraitée, qu'elle y possédait deux appartements, qu'elle s'occupait de son mari malade et qu'hormis sa fille, toute sa famille se trouvait en Mongolie, à savoir son mari, ses deux fils et son petit-fils. Ces dernières déclarations contredisent toutefois celles figurant dans sa lettre d'opposition du 10 août 2010. L'intéressée y expliquait, en effet, que son fils aîné vivait aux Etats-Unis et que le plus jeune résidait et travaillait en Corée. Ces informations contradictoires fournies par la recourante au sujet de ses attaches familiales, lesquelles sont un des facteurs déterminants dans l'examen de la garantie de la sortie de Suisse, font non seulement douter du but réel du visa sollicité, mais il en résulte aussi que ses trois enfants ont émigré, ce qui laisse à penser qu'ils ont cherché de meilleures conditions de vie ailleurs, compte tenu de la situation socio-économique peu favorable en Mongolie (cf. consid. 6.3 ci-dessus), ce que la recourante pourrait, à son tour, être tentée de faire par le biais d'un séjour en Suisse. Le dossier contient également des divergences au sujet de la durée du séjour envisagé, la recourante ayant sollicité un visa pour une durée de 60 jours (cf. formulaire de visa signé le 30 mai 2010), tandis que dans sa lettre d'invitation du 20 mars 2010, B._______ parle d'un séjour de trois mois, précisant même les dates, à savoir du 1er juin au 1er septembre 2010. Au vu de ces éléments contradictoires, force est de constater que le but et la durée du séjour de A._______ ne sont pas clairement établis, de sorte que sa sortie de Suisse, respectivement de l'Espace Schengen, dans les délais n'est pas suffisamment garantie. 7.1. Cela étant, le désir exprimé par la recourante, au demeurant parfaitement compréhensible, de venir en Suisse rendre visite à sa famille ne constitue pas, à lui seul,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(cf. consid. 3 supra). Pareilles considérations ne sont ainsi pas sans avoir une incidence importante dans l'appréciation du cas particulier. 7.2. Par surabondance, il convient encore de relever qu'un refus d'autorisation d'entrée dans l'Espace Schengen prononcé par les autorités helvétiques n'a pas en l'occurrence pour conséquence d'empêcher les intéressés de se voir, ceux-ci pouvant tout aussi bien se rencontrer hors de l'Espace Schengen, malgré les inconvénients d'ordre pratique ou de convenance personnelle que cela pourrait engendrer. 7.3. Enfin, dans la mesure où le recours doit être rejeté pour les motifs exposés ci-dessus, le Tribunal peut se dispenser d'examiner si les invitants disposent ou non des moyens financiers nécessaires à prendre en charge les frais de séjour de l'invitée.</w:t>
      </w:r>
    </w:p>
    <w:p>
      <w:r>
        <w:rPr>
          <w:b/>
        </w:rPr>
        <w:t>E. 8</w:t>
      </w:r>
    </w:p>
    <w:p>
      <w:r>
        <w:t>Se référant à un arrêt du Tribunal, la recourante invoque une inégalité de traitement. Il suffit de relever à ce sujet que d'une part, l'état de fait à la base de l'arrêt cité diffère fondamentalement de la situation du cas présent (nationalité, âge, situation personnelle des requérants) et que, d'autre part, la législation sur les étrangers ne garantit aucun droit quant à l'octroi d'un visa et que les autorités helvétiques doivent examiner en fonction des circonstances particulières de chaque requête le risque résultant du fait que la personne bénéficiant d'un visa d'entrée ne quitte pas la Suisse, voire l'Espace Schengen au terme de son séjour. Lorsqu'ils statuent en tenant compte de l'ensemble des circonstances, comme tel a été le cas en l'espèce, l'ODM et le Tribunal établissent des distinctions qui se justifient pleinement, de sorte qu'on ne saurait y voir une violation de l'égalité de traitement ou de l'interdiction de l'arbitraire.</w:t>
      </w:r>
    </w:p>
    <w:p>
      <w:r>
        <w:rPr>
          <w:b/>
        </w:rPr>
        <w:t>E. 9</w:t>
      </w:r>
    </w:p>
    <w:p>
      <w:r>
        <w:t>Compte tenu de ce qui précède, il appert que, par sa décision du 8 novembre 2010, l'ODM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d'un montant de Fr. 600.-, à la charge de la recourante,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