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C-8418/2010 vom 10. Februar 2012</w:t>
      </w:r>
    </w:p>
    <w:p>
      <w:r>
        <w:t>Bundesverwaltungsgericht, 2012-02-10, FR</w:t>
      </w:r>
    </w:p>
    <w:p>
      <w:r>
        <w:rPr>
          <w:b/>
        </w:rPr>
        <w:t xml:space="preserve">Quelle: </w:t>
      </w:r>
      <w:r>
        <w:t>https://mcp.opencaselaw.ch/entscheid/bvger_C-8418_2010</w:t>
      </w:r>
    </w:p>
    <w:p>
      <w:r>
        <w:t>FR: TAF C-8418/2010 du 10 février 2012</w:t>
      </w:r>
    </w:p>
    <w:p>
      <w:r>
        <w:t>IT: TAF C-8418/2010 del 10 febbraio 2012</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donc applicables vu le dépôt de la demande de prestations en date du 5 décembre 2009. Les dispositions de la 6ème révision (premier volet) en vigueur depuis le 1er janvier 2012 (RO 2011 5659; FF 2010 1647) ne sont pas applicables. En l'espèce, le Tribunal peut se limiter à examiner si la recourante remplissait les conditions d'octroi d'une rente jusqu'au 25 octobre 2010, date de la décision attaquée marquant la limite dans le temps du pouvoir d'examen de l'autorité de recours (ATF 129 V 1 consid. 2.1 avec les réf.). Il sied de relever que la documentation médicale produite ultérieurement à la décision attaquée ne peut être prise en compte que dans la mesure où elle permet de mieux comprendre des atteintes à la santé antérieures à la décision dont est recours.</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compte des cotisations à l'AVS/AI pour une période de plus de trois ans et remplit donc la condition de la durée minimale de cotisations eu égard au moment de l'ouverture éventuelle du droit à la rente. Il reste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La recourante a été domiciliée en Suisse plusieurs années et a travaillé en Suisse durant l'année 1992 comme aide cuisinière. Retournée au Portugal en 1992, elle n'a plus exercé d'activité lucrative.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du règlement du 17 janvier 1961 sur l'assurance-invalidité [RAI, RS 831.201]) telles les tâches domestiques (méthode dite spécifique).</w:t>
      </w:r>
    </w:p>
    <w:p>
      <w:r>
        <w:rPr>
          <w:b/>
        </w:rPr>
        <w:t>E. 6.4</w:t>
      </w:r>
    </w:p>
    <w:p>
      <w:r>
        <w:t>Pour déterminer s'il y a lieu d'appliquer la méthode spécifique, on tient compte de l'évolution de la situation jusqu'au prononcé de la décision administrative en admettant que l'assuré n'aurait pas exercé d'activité lucrative lorsque cette éventualité présente un degré de vraisemblance prépondérante (Michel Valterio, Droit de l'assurance-vieillesse et survivants (AVS) et de l'assurance-invalidité (AI), Zurich 2011, n° 2150).</w:t>
      </w:r>
    </w:p>
    <w:p>
      <w:r>
        <w:rPr>
          <w:b/>
        </w:rPr>
        <w:t>E. 6.5</w:t>
      </w:r>
    </w:p>
    <w:p>
      <w:r>
        <w:t>La détermination du taux d'invalidité de l'assuré qui assume des tâches ménagères résulte généralement d'une enquête menée sur place (cf. art. 69 al. 2 RAI) par une personne qualifiée, laquelle constitue en principe une base appropriée et en règle générale suffisante pour apprécier et quantifier les limitations fonctionnelles (arrêt du Tribunal fédéral I 249/04 du 6 septembre 2004 consid. 5.1.1). Le résultat de l'enquête aboutit à une évaluation qui doit être appréciée par l'administration (et en cas de recours par le juge) à la lumière des conclusions du médecin relatives à l'incapacité de travail dans l'accomplissement des tâches ménagères (Valterio, op. cit., n° 2159). L'appréciation des domaines partiels de la gestion du ménage intervient sur la base d'un tableau établi par l'Office fédéral des assurances sociales dont l'usage est obligatoire pour déterminer l'invalidité dans les tâches ménagères (Valterio, op. cit., n° 2165). En raison de circonstances liées au domicile à l'étranger d'un assuré, l'évaluation de l'invalidité dans les travaux habituels peut être effectuée avec le concours d'un médecin et non d'un enquêteur qualifié. Le médecin doit alors se déterminer de manière circonstanciée et détaillée sur les limitations alléguées par l'assuré (arrêt du Tribunal fédéral I 733/06 du 16 juillet 2007 consid. 4.2.2.). En cas d'allégation de limitations par l'assuré sans relation avec les atteintes à la santé, celles-ci ne sauraient être retenues par le service médical de l'OAIE au profit d'une appréciation de ce service sur la base de la documentation médicale. En l'espèce, il est vrai que le questionnaire sur les limitations dans les tâches ménagères n'a pas été rempli avec l'aide d'un médecin mais par la seule assurée. Toutefois, force est de constater que l'assurée même ne déclare pas présenter de limitations notables dans ses tâches habituelles. Selon une jurisprudence constante, les données fournies par le médecin constituent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En l'espèce l'intéressée n'a plus exercé d'activité lucrative depuis son retour au Portugal en 1992. Son invalidité doit être évaluée en application de la méthode spécifique compte tenu de ses empêchements dans l'accomplissement des tâches domestiques.</w:t>
      </w:r>
    </w:p>
    <w:p>
      <w:r>
        <w:rPr>
          <w:b/>
        </w:rPr>
        <w:t>E. 8.2</w:t>
      </w:r>
    </w:p>
    <w:p>
      <w:r>
        <w:t>En 2001 une hépatite chronique B légère avec fibrose portale modérée et septale fut diagnostiquée. Le rapport médical du Dr B._______ du 12 mai 2009 fait état d'un status clinique stabilisé. Il n'existe pas d'autres documents de suivi médical relevant des complications ou hospitalisations. Le rapport E 213 du 16 avril 2010 relève un bon état général, un poids de 59 kg pour une taille de 160 cm, un bon état mental, une force, un tonus une marche sans altération. Il n'est pas évoqué d'atteintes à la santé particulières outre les plaintes d'asthénie, anorexie et perte de poids qui en tant que telles ne constituent pas des atteintes à la santé invalidantes si elles ne sont pas documentées médicalement. Le poids de l'intéressée est néanmoins dans la norme. Le Dr C._______ de l'OAIE releva que l'intéressée n'avait pas indiqué d'entraves sérieuses dans les tâches ménagères. La Dresse D._______ nota que l'aide de la fille de l'assurée et de son mari à raison de 20 h./sem. chacun dans les tâches ménagères était incompréhensible. Il s'ensuit que le Tribunal de céans peut partager l'avis du Dr C._______ confirmé par la Dresse D._______ dans le fait que ce dernier n'ait retenu aucune incapacité dans les tâches ménagères à la base de la décision attaquée. Certes le rapport E 213 retient une incapacité de travail totale, mais cette appréciation est en relation avec une activité lucrative pour laquelle d'autres critères sont applicables, l'incapacité évoquée n'est pas indiquée en relation avec les tâches ménagères. Il sied toutefois de relever que le rapport E 213 n'a pas précisé ni motivé l'incapacité de travail de sorte qu'elle n'aurait d'ailleurs pas été retenue comme telle sous l'angle de l'évaluation de l'invalidité en application de la méthode générale des personnes travaillant dans le circuit économique.</w:t>
      </w:r>
    </w:p>
    <w:p>
      <w:r>
        <w:rPr>
          <w:b/>
        </w:rPr>
        <w:t>E. 8.3</w:t>
      </w:r>
    </w:p>
    <w:p>
      <w:r>
        <w:t>Dans le cadre de la procédure de recours l'intéressée a produit une nouvelle documentation médicale. La Dresse D._______ a indiqué que celle-ci confirmait un état stabilisé avec une charge virale indétectable et qu'en conséquence il n'y avait pas lieu d'admettre une incapacité de travail significative dans les tâches ménagères. Le Tribunal de céans ne peut que confirmer cette appréciation faute d'une documentation médicale la mettant en doute. Le recours doit dès lors être rejeté.</w:t>
      </w:r>
    </w:p>
    <w:p>
      <w:r>
        <w:rPr>
          <w:b/>
        </w:rPr>
        <w:t>E. 9</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10.1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10.2</w:t>
      </w:r>
    </w:p>
    <w:p>
      <w:r>
        <w:t>Les frais de procédure, fixés à 400 francs, sont mis à la charge de la recourante (art. 63 al. 1 PA, applicable par le truchement de l'art. 37 LTAF). Ils sont compensés par l'avance de frais du même montant dont elle s'est acquittée au cours de l'instruction.</w:t>
      </w:r>
    </w:p>
    <w:p>
      <w:r>
        <w:rPr>
          <w:b/>
        </w:rPr>
        <w:t>E. 10.3</w:t>
      </w:r>
    </w:p>
    <w:p>
      <w:r>
        <w:t>Vu l'issue du litige, 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