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C-8408/2007 vom 2. September 2008</w:t>
      </w:r>
    </w:p>
    <w:p>
      <w:r>
        <w:t>Bundesverwaltungsgericht, 2008-09-02, FR</w:t>
      </w:r>
    </w:p>
    <w:p>
      <w:r>
        <w:rPr>
          <w:b/>
        </w:rPr>
        <w:t xml:space="preserve">Quelle: </w:t>
      </w:r>
      <w:r>
        <w:t>https://mcp.opencaselaw.ch/entscheid/bvger_C-8408_2007</w:t>
      </w:r>
    </w:p>
    <w:p>
      <w:r>
        <w:t>FR: TAF C-8408/2007 du 2 septembre 2008</w:t>
      </w:r>
    </w:p>
    <w:p>
      <w:r>
        <w:t>IT: TAF C-8408/2007 del 2 settembre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aux art. 33 et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telles notamment l'ordonnance du 14 janvier 1998 concernant l'entrée et la déclaration d'arrivée des étrangers (OEArr de 1998, RO 1998 194) abrogée par l'art. 39 de l'ordonnance du 24 octobre 2007 sur la procédure d'entrée et de visas (OPEV, RS 142.204) et l'ordonnance du 6 octobre 1986 limitant le nombre des étrangers (OLE,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relative aux demandes déposées avant l'entrée en vigueur de la LEtr est régie par le nouveau droit (art. 126 al. 2 LEtr).</w:t>
      </w:r>
    </w:p>
    <w:p>
      <w:r>
        <w:rPr>
          <w:b/>
        </w:rPr>
        <w:t>E. 1.3</w:t>
      </w:r>
    </w:p>
    <w:p>
      <w:r>
        <w:t>A moins que la LTAF n'en dispose autrement, la procédure devant le TAF est régie par la PA (cf. art. 37 LTAF).</w:t>
      </w:r>
    </w:p>
    <w:p>
      <w:r>
        <w:rPr>
          <w:b/>
        </w:rPr>
        <w:t>E. 1.4</w:t>
      </w:r>
    </w:p>
    <w:p>
      <w:r>
        <w:t>S._______ a qualité pour recourir (cf. art. 48 al. 1 PA). Son recours, présenté dans la forme et les délais légaux,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ci-dessus (cf. ATF 129 II 215 consid. 1.2, publication partielle de l'arrêt du Tribunal fédéral 2A.451/2002 du 28 mars 2003).</w:t>
      </w:r>
    </w:p>
    <w:p>
      <w:r>
        <w:rPr>
          <w:b/>
        </w:rPr>
        <w:t>E. 3</w:t>
      </w:r>
    </w:p>
    <w:p>
      <w:r>
        <w:t>Sous réserve de dispositions différentes, tout étranger doit être muni, pour entrer en Suisse, d'un passeport et d'un visa (art. 1 al. 1 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notamment lorsque l'étranger ne remplit pas les conditions d'entrée prévues à l'article premier (art. 14 al. 1 OEArr).</w:t>
      </w:r>
    </w:p>
    <w:p>
      <w:r>
        <w:rPr>
          <w:b/>
        </w:rPr>
        <w:t>E. 4.1</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OEArr).</w:t>
      </w:r>
    </w:p>
    <w:p>
      <w:r>
        <w:rPr>
          <w:b/>
        </w:rPr>
        <w:t>E. 4.2</w:t>
      </w:r>
    </w:p>
    <w:p>
      <w:r>
        <w:t>L'autorité statue librement, dans le cadre des prescriptions légales et des traités avec l'étranger, sur l'octroi de l'autorisation de séjour ou d'établissement... (art. 4 LSEE). En outre,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5.1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5.2</w:t>
      </w:r>
    </w:p>
    <w:p>
      <w:r>
        <w:t>ll est à noter que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ladite autorité se base sur les indices et l'évaluation précités pour appliquer l'art. 1 OEArr.</w:t>
      </w:r>
    </w:p>
    <w:p>
      <w:r>
        <w:rPr>
          <w:b/>
        </w:rPr>
        <w:t>E. 5.3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6.1</w:t>
      </w:r>
    </w:p>
    <w:p>
      <w:r>
        <w:t>La République de Kosovo est un jeune Etat, dont l'indépendance a été proclamée en février 2008 seulement, et qui faisait auparavant partie de la République de Serbie. La Suisse a reconnu le nouvel Etat le 27 février 2008 déjà. Les experts en la matière estiment que l'indépendance ne devrait guère avoir d'effets perceptibles à court et moyen terme en matière économique. En dépit d'un soutien international massif, aucune dynamique de croissance ne s'est en effet installée dans le pays, qui connaît une période d'importante stagflation, conjuguant à la fois chômage (jusqu'à 45%) et hausse des prix. La population reste touchée, chaque hiver, par des coupures d'énergie, faute d'une production suffisante d'électricité (cf. site du Ministère fédéral des Affaires étrangères de la République fédérale d'Allemagne: www.auswaertiges-amt.de &gt; Länder, Reisen und Sicherheit &gt; Kosovo, mis à jour le 14 mars 2008, consulté le 17 août 2008; site du Ministère des affaires étrangères et européennes de la République française: www.diplomatie.gouv.fr &gt; Pays - zones géo &gt; Kosovo, mis à jour le 7 mars 2008 et consulté le 17 août 2008; cf. également sur la situation au Kosovo: arrêt du Tribunal administratif fédéral C-5334/2007 du 18 juillet 2008).</w:t>
      </w:r>
    </w:p>
    <w:p>
      <w:r>
        <w:rPr>
          <w:b/>
        </w:rPr>
        <w:t>E. 6.2</w:t>
      </w:r>
    </w:p>
    <w:p>
      <w:r>
        <w:t>Dès lors, ces conditions économiques et politiques difficiles ne sont pas sans exercer une pression migratoire importante, en particulier sur la population jeune, cette tendance étant encore renforcée, comme l'expérience l'a démontré, lorsque la personne concernée peut s'appuyer à l'étranger sur un réseau social (parents, amis) préexistant. Les pays d'Europe de l'Ouest, et notamment la Suisse, constituent à cet égard des destinations privilégiées. Toutefois, comme cela a déjà été mentionné ci-dessus, la seule situation dans le pays d'origine ne suffit pas à conclure à l'absence de garantie quant à la sortie de Suisse à l'issue du séjour, toutes les particularités du cas d'espèce devant être prises en considération. B._______ est sans emploi et n'allègue pas être au bénéfice d'une formation particulière qu'elle ne pourrait mettre en pratique que dans son pays d'origine. Au vu du taux de chômage extrêmement élevé au Kosovo, ses chances d'y trouver un emploi à brève échéance n'apparaissent pas suffisamment significatives pour la dissuader de rester en Suisse à l'échéance de son visa. En d'autres termes, ses attaches professionnelles dans son pays d'origine ne suffiraient vraisemblablement pas à l'encourager à retourner au Kosovo. D'un point de vue personnel, la jeune femme est célibataire, n'a pas d'enfants et même si une partie importante de sa famille demeure vraisemblablement dans son pays d'origine, ces éléments ne l'emporteraient certainement pas lors de la pesée des intérêts à laquelle elle procéderait. Au contraire, la présence de son cousin en Suisse lui permettrait de s'appuyer sur un réseau existant pour s'établir sur sol helvétique. Dans ce contexte, il ne faut pas perdre de vue que les conditions prévalant en Suisse, tant d'une manière générale qu'en ce qui concerne les possibilités de travailler, sont sensiblement plus favorables que celles que connaissent actuellement les habitants du Kosovo et que cette différence peut s'avérer décisive lorsqu'une personne prend la décision de quitter son pays.</w:t>
      </w:r>
    </w:p>
    <w:p>
      <w:r>
        <w:rPr>
          <w:b/>
        </w:rPr>
        <w:t>E. 7</w:t>
      </w:r>
    </w:p>
    <w:p>
      <w:r>
        <w:t>Cela étant, le désir exprimé par B._______, au demeurant parfaitement compréhensible, de venir rendre visite à son cousin et sa famille ne constitue pas à lui seul un motif justifiant l'octroi d'un visa, à propos duquel elle ne saurait au demeurant se prévaloir d'aucun droit (cf. consid. 4.2). Au vu du nombre important de demandes de visa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 Au vu de l'ensemble des circonstances, le TAF estime qu'il ne saurait être reproché à l'ODM d'avoir considéré que le départ de B._______ à l'échéance du visa requis n'était pas suffisamment assuré et, partant, d'avoir refusé la délivrance d'une autorisation d'entrée en Suisse en sa faveur. Pour ce premier motif déjà, il convient de rejeter le recours.</w:t>
      </w:r>
    </w:p>
    <w:p>
      <w:r>
        <w:rPr>
          <w:b/>
        </w:rPr>
        <w:t>E. 8</w:t>
      </w:r>
    </w:p>
    <w:p>
      <w:r>
        <w:t>Par surabondance, il sied de relever qu'une autorisation d'entrée en Suisse ne peut être délivrée qu'à la condition que l'étranger dispose de moyens suffisants pour subvenir à ses besoins pendant son séjour ou soit en mesure de se les procurer légalement (cf. art. 1 al. 2 let. d et 14 al. 1 OEArr). En l'occurrence, la situation financière de l'invitante et de son mari est précaire, puisqu'ils émargent en partie aux services sociaux. Le revenu de madame constitue manifestement l'une des seules sources de revenus de la famille, laquelle compte en outre trois enfants, dont un au moins a plus de seize ans, et loge dans un appartement de quatre pièces. En d'autres termes, il n'est pas garanti qu'en cas de séjour en Suisse, l'invitée dispose de suffisamment de moyens pour subvenir à ses besoins. Pour ce second motif également, l'autorisation doit être refusée et le recours rejeté.</w:t>
      </w:r>
    </w:p>
    <w:p>
      <w:r>
        <w:rPr>
          <w:b/>
        </w:rPr>
        <w:t>E. 9</w:t>
      </w:r>
    </w:p>
    <w:p>
      <w:r>
        <w:t>Il s'impose finalement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et ne suffisent pas (cf. arrêt du Tribunal fédéral 6S.281/2005 du 30 septembre 2005 et Jurisprudence des autorités administratives de la Confédération [JAAC] 57.24).</w:t>
      </w:r>
    </w:p>
    <w:p>
      <w:r>
        <w:rPr>
          <w:b/>
        </w:rPr>
        <w:t>E. 10</w:t>
      </w:r>
    </w:p>
    <w:p>
      <w:r>
        <w:t>Compte tenu des considérants exposés ci-dessus, il appert que, par sa décision du 16 novembre 2007, l'ODM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