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C-8407/2015 vom 22. Juni 2016</w:t>
      </w:r>
    </w:p>
    <w:p>
      <w:r>
        <w:t>Bundesverwaltungsgericht, 2016-06-22, DE</w:t>
      </w:r>
    </w:p>
    <w:p>
      <w:r>
        <w:rPr>
          <w:b/>
        </w:rPr>
        <w:t xml:space="preserve">Quelle: </w:t>
      </w:r>
      <w:r>
        <w:t>https://mcp.opencaselaw.ch/entscheid/bvger_C-8407_2015</w:t>
      </w:r>
    </w:p>
    <w:p>
      <w:r>
        <w:t>FR: TAF C-8407/2015 du 22 juin 2016</w:t>
      </w:r>
    </w:p>
    <w:p>
      <w:r>
        <w:t>IT: TAF C-8407/2015 del 22 giugno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Trotz des Zeitablaufs (Geburt des Kindes und der Operation der Ehefrau des Beschwerdeführers) ist von einem bestehenden Rechtsschutzinteresse auszugehen (erwünschte Anwesenheit der Gesuchstellerin [Mutter der Gastgeberin]) nach Komplikationen während der Schwangerschaft (SEM-pag. 175), Geburt und Operation; Bezahlung des Kostenvorschusses nach erfolgter Operation. Der Beschwerdeführer ist somit gemäss Art. 48 Abs. 1 VwVG zur Beschwerde berechtigt.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sri-lankischen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 a.M. PHILIPP EGLI / TOBIAS D. MEYER, in: Caroni / Gächter / Thurnherr [Hrsg.], Stämpflis Handkommentar zum Bundesgesetz über die Ausländerinnen und Auslän-der, Bern 2010, Art. 5 N. 3 f).</w:t>
      </w:r>
    </w:p>
    <w:p>
      <w:r>
        <w:rPr>
          <w:b/>
        </w:rPr>
        <w:t>E. 5</w:t>
      </w:r>
    </w:p>
    <w:p>
      <w:r>
        <w:t>5.1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 März 2016)], Art. 4 VEV).</w:t>
      </w:r>
    </w:p>
    <w:p>
      <w:r>
        <w:rPr>
          <w:b/>
        </w:rPr>
        <w:t>E. 5.2</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5.3</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5.4</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sri-lankischen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gesichert.</w:t>
      </w:r>
    </w:p>
    <w:p>
      <w:r>
        <w:rPr>
          <w:b/>
        </w:rPr>
        <w:t>E. 6.2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(siehe BVGE 2014/1 E. 6.1 m.H.).</w:t>
      </w:r>
    </w:p>
    <w:p>
      <w:r>
        <w:rPr>
          <w:b/>
        </w:rPr>
        <w:t>E. 6.3</w:t>
      </w:r>
    </w:p>
    <w:p>
      <w:r>
        <w:t>Seit Ende des langjährigen Bürgerkriegs im Jahr 2009 hat sich die Sicherheitslage in Sri Lanka stabilisiert. In wirtschaftlicher Hinsicht gilt Sri Lanka gemäss Weltbank-Klassifikation als «Lower Middle Income Country»; im als Wohlstandsindikator zu berücksichtigenden UN-Index der menschlichen Entwicklung (HDI) 2015 belegt Sri Lanka die Position 73 von 187 Ländern. Das Bruttoinlandsprodukt (BIP) betrug 2015 81,1 Mrd. USD (3.92 USD/Kopf). Dies stellt gegenüber dem Vorjahr ein reales Wachstum von 2,9% dar. Demgegenüber wird die Menschenrechtslage nach wie vor als sehr prekär eingeschätzt, nicht zuletzt auch wegen der Unterdrückung der politischen Opposition und der tamilischen Minderheit - zu welcher die Gesuchstellerin gehört - durch die Regierung (Quellen: Webseite des deutschen Auswärtigen Amtes: www.auswaertiges-amt.de, Aussen- und Europapolitik &gt; Länderinformationen &gt; Sri Lanka &gt; Wirtschaft, Stand: Februar 2016, UNHCR, The UN Refugee Agency, 2013 Country Reports on Human Rights Practices - Sri Lanka, 27.02.2014 http://www.refworld.org/docid/53284a6b8.html &gt;, abgerufen im Juni 2016).</w:t>
      </w:r>
    </w:p>
    <w:p>
      <w:r>
        <w:rPr>
          <w:b/>
        </w:rPr>
        <w:t>E. 6.4</w:t>
      </w:r>
    </w:p>
    <w:p>
      <w:r>
        <w:t>In Anbetracht dieser Umstände ist grundsätzlich nicht zu beanstanden, dass die Vorinstanz das Risiko einer nicht fristgerechten Wiederausreise allgemein als hoch einschätzt. Das Risiko ist insofern zu bekräftigen, als die Bereitschaft, das Land auf Dauer zu verlassen, durch bereits im Ausland lebende nahe Verwandte erfahrungsgemäss begünstigt werden kann.</w:t>
      </w:r>
    </w:p>
    <w:p>
      <w:r>
        <w:rPr>
          <w:b/>
        </w:rPr>
        <w:t>E. 6.5</w:t>
      </w:r>
    </w:p>
    <w:p>
      <w:r>
        <w:t>Bei der Risikoanalyse sind neben allgemeinen Umständen und Erfahrungen sämtliche Gesichtspunkte des konkreten Einzelfalls zu berücksichtigen. In beweisrechtlicher Hinsicht ist festzuhalten, dass ein Visum nur erteilt werden darf, wenn keine begründeten Zweifel an der Absicht der Gesuchstel­lerin bestehen, den Schengen-Raum vor Ablauf des Visums zu verlassen (vgl. BVGE 2014/1 E. 4.4 und E. 6.3.1 je m.H).</w:t>
      </w:r>
    </w:p>
    <w:p>
      <w:r>
        <w:rPr>
          <w:b/>
        </w:rPr>
        <w:t>E. 7.1</w:t>
      </w:r>
    </w:p>
    <w:p>
      <w:r>
        <w:t>Bei der Gesuchstellerin handelt es sich um eine 64-jährige verwitwete Frau (SEM-pag. 141 und 147 f.). Ihre zwei Kinder sind erwachsen (SEM-pag. 145 und 161). Gemäss den Auskünften der Gesuchstellerin und des Beschwerdeführers lebt sie mit ihrem Sohn (geb. 1996) und ihrer Schwester im eigenen Haus. Es kann demnach nicht davon ausgegangen werden, im persönlichen oder familiären Umfeld der Gesuchstellerin seien Verpflichtungen oder gar Abhängigkeiten vorhanden, die besondere Gewähr für eine Rückkehr ins Heimatland bieten könnten, auch wenn sie "Familienälteste" und ihr Sohn noch nicht verheiratet sein soll. So ist weder aus den Akten ersichtlich noch wurde dargetan, dass aufgrund ihrer familiären Beziehungen irgendwelche Verpflichtungen bestünden. Vielmehr fühlt sich die Gesuchstellerin als Mutter verpflichtet, ihrer Tochter in der Schweiz, welche im September 2016 ein Kind zur Welt gebracht hat und sich Anfang des Jahres einer Operation unterziehen musste, beizustehen und sie zu unterstützen (BVGer-act. 1 Beilage 2 und 3; SEM-pag. 204 ).</w:t>
      </w:r>
    </w:p>
    <w:p>
      <w:r>
        <w:rPr>
          <w:b/>
        </w:rPr>
        <w:t>E. 7.2</w:t>
      </w:r>
    </w:p>
    <w:p>
      <w:r>
        <w:t>Die Gesuchstellerin geht keiner Erwerbstätigkeit nach. Gemäss ihren Angaben im Rahmen eines früheren Gesuchs um Einreise in die Schweiz soll sie von ihrem Bruder, der in der Schweiz lebe, monatlich Geld bekommen (SEM-pag. 52). Bei der "Hatton National Bank" besass die Gesuchstellerin am 16. Juli 2015 Rs. 325'151.03 (rund USD 2225.-; SEM-pag. 186). Des Weiteren besitzt sie in Jaffna Land im Wert von Rs. 3000.- (rund USD 20; SEM-pag. 138 ff.). Angesichts eines durchschnittlichen Jahreseinkommens von USD 3'460.- in Sri Lanka (The World Bank, Data, GNI per capita, Atlas method (current US$), Sri Lanka, http://data.worldbank.org/indicator/NY.GNP.PCAP.CD abgerufen im Juni 2016), verfügt die Gesuchstellerin mit ihrem Vermögen von insgesamt rund USD 2'245.- nicht über genügend finanzielle Mittel, um ihren Lebensunterhalt zu bestreiten. Auch ihr Sohn kann nicht genügend zu ihrer Versorgung beitragen. Er soll als Verkäufer arbeiten und monatlich Rs. 20'000.- (rund USD 137; SEM-pag. 145 f. und 154) verdienen. Sein Jahreseinkommen beläuft ich somit auf ca. USD 1644.-, welches unter dem Durchschnitt liegt. Die Gesuchstellerin ist offensichtlich auf finanzielle Mittel ihres Bruders in der Schweiz angewiesen. Auf dieser monetären Grundlage kann die Wiederausreise der Gesuchstellerin nicht als gesichert eingestuft werden. Ebenso der Umstand, dass die Aufenthaltskosten in der Schweiz nicht von der Gesuchstellerin selbst getragen würden, sondern sie bei einem Besuch finanziell vollständig von den Gastgebern abhängig sein würde, spricht gegen das Bild eines finanziell abgesicherten Gastes (SEM-pag. 7/122; 5/30 und 111). Demzufolge obliegen ihr offensichtlich auch keine zwingenden beruflichen Verpflichtungen. Die Gewähr für eine fristgerechte Wiederausreise wurde auch insoweit nicht belegt.</w:t>
      </w:r>
    </w:p>
    <w:p>
      <w:r>
        <w:rPr>
          <w:b/>
        </w:rPr>
        <w:t>E. 7.3</w:t>
      </w:r>
    </w:p>
    <w:p>
      <w:r>
        <w:t>Insgesamt betrachtet sind somit weder in den familiären oder gesellschaftlichen noch beruflichen und damit wirtschaftlichen Verhältnissen der Gesuchstellerin Be­sonderheiten erkennbar, die eine Emigration als unwahrscheinlich erachten lassen. 8.Vor dem allgemeinen und persönlichen Hintergrund durfte die Vorinstanz demnach davon ausgehen, dass keine hinreichende Gewähr für eine fristgerechte und anstandslose Wiederausreise der Gesuchstellerin nach einem Besuchsaufenthalt besteht. 9.An der Richtigkeit dieser Einschätzung ändert auch die Tatsache nichts, dass der Beschwerdeführer über einen guten Leumund verfügt (vgl. SEM-pag. 232 ff. und 236 f.).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der eingeladenen Personen selbst von Bedeutung. Nur Letztere sind in der Lage, hinrei­chend Ge­währ für eine fristgerechte und anstandslo­se Wiederausreise zu bie­ten. Denn in seiner Eigenschaft als Gastgeber kann der Beschwerdeführer zwar für gewisse finanzielle Risiken (Lebensunterhaltskosten während des Besuchsaufenthaltes, allfällig ungedeckte Kosten für Unfall oder Krankheit sowie Rückreisekosten) Garantie leisten, nicht aber - mangels rechtlicher und faktischer Durchsetzbarkeit - für ein bestimmtes Verhalten der Gäste (vgl. dazu BVGE 2009/27 E. 9). 10.Gründe für die Ausstellung eines Visums mit räumlich beschränkter Gültigkeit (vgl. E. 4.5) wurden vom Beschwerdeführer nicht geltend gemacht und ergeben sich auch sonst nicht aus den Akten. 11.Aus den vorstehenden Erwägungen folgt, dass die angefochtene Verfügung sich im Lichte von Art. 49 VwVG als rechtmässig erweist. Die Beschwerde ist daher abzuweisen. 12.Entsprechend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