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C-8386/2008 vom 16. September 2009</w:t>
      </w:r>
    </w:p>
    <w:p>
      <w:r>
        <w:t>Bundesverwaltungsgericht, 2009-09-16, FR</w:t>
      </w:r>
    </w:p>
    <w:p>
      <w:r>
        <w:rPr>
          <w:b/>
        </w:rPr>
        <w:t xml:space="preserve">Quelle: </w:t>
      </w:r>
      <w:r>
        <w:t>https://mcp.opencaselaw.ch/entscheid/bvger_C-8386_2008</w:t>
      </w:r>
    </w:p>
    <w:p>
      <w:r>
        <w:t>FR: TAF C-8386/2008 du 16 septembre 2009</w:t>
      </w:r>
    </w:p>
    <w:p>
      <w:r>
        <w:t>IT: TAF C-8386/2008 del 16 settembre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B._______ et C._______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LEtr. Aussi la pratique et la jurisprudence appliquées à cette dernière disposition peuvent-elles être reprises en l'espèce (cf., entre autres, sur les détails de cette problématique, l'arrêt du Tribunal administratif fédéral C-3209/2008 du 8 mai 2009 consid. 4 et 5).</w:t>
      </w:r>
    </w:p>
    <w:p>
      <w:r>
        <w:rPr>
          <w:b/>
        </w:rPr>
        <w:t>E. 5.2</w:t>
      </w:r>
    </w:p>
    <w:p>
      <w:r>
        <w:t>Le Règlement (CE) n° 539/2001 du Conseil du 15 mars 2001 (JO L 81 du 21 mars 2001 p. 1-7) différencie, en son art. 1 par. 1 et 2, les ressortissants des Etats tiers selon qu'ils sont soumis ou non à l'obligation du visa. En tant que ressortisant kosovar, A._______ est soumis à l'obligation du visa.</w:t>
      </w:r>
    </w:p>
    <w:p>
      <w:r>
        <w:rPr>
          <w:b/>
        </w:rPr>
        <w:t>E. 6</w:t>
      </w:r>
    </w:p>
    <w:p>
      <w:r>
        <w:t>En premier lieu, les recourants reprochent à l'ODM de s'être prononcé sans tenir compte de la lettre d'invitation adressée le 30 octobre 2008 par B._______ et C._______ à l'Ambassade de Suisse à Pristina (cf. let. D supra). Or, il appert que ce courrier est postérieur à la demande de visa du 27 octobre 2008, n'était pas destiné à l'ODM et, surtout, ne figure pas dans le dossier de l'autorité intimée. Ainsi, tout porte à croire que celle-ci en ignorait l'existence lors de sa décision du 25 novembre 2008. Cela étant, la question de savoir si la représentation suisse à Pristina aurait dû transmettre ladite lettre (pour autant qu'elle l'ait reçue, ce qui n'est pas établi en l'état du dossier) à l'ODM peut demeurer indécise in casu, puisqu'au cours de l'échange d'écritures intervenu suite au recours du 30 décembre 2008, l'office fédéral a pris connaissance du dossier du TAF - et donc de ladite missive - avant de rendre son préavis du 12 février 2009 ; il a malgré tout persisté dans son rejet de la requête des intéressés.</w:t>
      </w:r>
    </w:p>
    <w:p>
      <w:r>
        <w:rPr>
          <w:b/>
        </w:rPr>
        <w:t>E. 7</w:t>
      </w:r>
    </w:p>
    <w:p>
      <w:r>
        <w:t>Dans la décision attaquée, l'ODM a refusé d'autoriser le prénommé à entrer en Suisse, au motif que sa sortie de ce pays au terme de son séjour ne pouvait pas être considérée comme suffisamment garantie. Il convient par conséquent d'examiner, compte tenu de l'objet et des conditions du séjour envisagé au sens de l'art. 5 par. 1 let. c du code frontières Schengen, si les conditions fixées par l'art. 5 LEtr, en particulier à son alinéa 2, sont remplies en l'espèce.</w:t>
      </w:r>
    </w:p>
    <w:p>
      <w:r>
        <w:rPr>
          <w:b/>
        </w:rPr>
        <w:t>E. 8</w:t>
      </w:r>
    </w:p>
    <w:p>
      <w:r>
        <w:t>Il est vrai qu'au regard de la situation générale prévalant au Kosovo, on ne saurait d'emblée écarter les craintes émises par l'ODM de voir A._______ chercher à prolonger son séjour en Suisse ou dans l'Espace Schengen au-delà de la validité du visa sollicité. A ce sujet, il faut prendre en considération la qualité de vie et les conditions économiques et sociales difficiles que connaît l'ensemble de la population du Kosovo (pays dont le taux de chômage s'élevait à 45% et dont le PIB par habitant était de ? 1'150.- en 2008 [source: site internet du Ministère français des affaires étrangères &gt; France-Diplomatie &gt; Pays-zones géo &gt; Kosovo ; mis à jour le 7 mars 2008 et consulté le 9 septembre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9</w:t>
      </w:r>
    </w:p>
    <w:p>
      <w:r>
        <w:t>La seule situation dans le pays d'origine ne suffit toutefois pas à conclure à l'absence de garantie quant à la sortie de Suisse à l'issue du séjour, toutes les particularités du cas d'espèce devant être prises en considération.</w:t>
      </w:r>
    </w:p>
    <w:p>
      <w:r>
        <w:rPr>
          <w:b/>
        </w:rPr>
        <w:t>E. 9.1</w:t>
      </w:r>
    </w:p>
    <w:p>
      <w:r>
        <w:t>In casu, il ressort des pièces du dossier que A._______, veuf, âgé de septante-deux ans, habite le village d'Y._______, dans la commune de Deçan. L'une de ses filles est également domiciliée à Deçan - bien que dans un autre village - alors que l'autre vit dans une commune voisine, celle de Peje. Outre ses deux filles, le prénommé possède au pays de nombreux petits-enfants, ses frères et soeurs, ainsi que des cousins (cf. mémoire de recours p. 4 et déclaration du 31 mars 2009). Force est donc de reconnaître que l'intéressé détient un réseau familial important dans sa patrie. Il possède également des attaches matérielles au Kosovo, attendu qu'il est propriétaire de la maison qu'il habite ainsi que de terrains situés en zone rurale, et que personne au pays ne peut le remplacer concernant la gestion de ses biens (cf. certificat de propriété du 27 février 2009 et déclaration du 31 mars 2009). A cela s'ajoute que s'il n'exerce plus d'activité lucrative compte tenu de son âge, A._______ perçoit tout de même une pension de vieillesse, laquelle est certes modeste (cf. recours du 30 décembre 2008 p. 4) mais lui permet néanmoins, selon toute vraisemblance, de vivre de façon indépendante. Au surplus, l'intéressé a démontré se trouver en bonne santé, certificats médicaux à l'appui (cf. let. F supra). Dans ces conditions, le risque que l'invité - qui n'a jamais quitté son pays natal jusqu'à aujourd'hui (cf. lettre d'invitation du 30 octobre 2008) - choisisse, à son âge, de s'exiler dans un environnement qui lui est totalement étranger paraît plus théorique que réel.</w:t>
      </w:r>
    </w:p>
    <w:p>
      <w:r>
        <w:rPr>
          <w:b/>
        </w:rPr>
        <w:t>E. 9.2</w:t>
      </w:r>
    </w:p>
    <w:p>
      <w:r>
        <w:t>Par ailleurs, la durée (un mois) et les motifs (d'ordre strictement familial) de la venue en Suisse de l'invité paraissent en adéquation avec sa situation personnelle et familiale. Au demeurant, compte tenu de l'ensemble des considérations qui précèdent, l'on ne saurait retenir pour déterminant le seul fait que B._______ et C._______ aient invité le requérant pour une durée de trois mois et non de trente jours (cf. let. B supra et lettre d'invitation du 30 octobre 2008).</w:t>
      </w:r>
    </w:p>
    <w:p>
      <w:r>
        <w:rPr>
          <w:b/>
        </w:rPr>
        <w:t>E. 9.3</w:t>
      </w:r>
    </w:p>
    <w:p>
      <w:r>
        <w:t>En outre, prenant acte des assurances données par les invitants, d'une part, et par A._______, d'autre part, le Tribunal ne décèle aucun indice permettant de mettre en doute la bonne foi de l'invité et les volonté de ses hôtes de respecter le motif et la durée du visa requis. Il ne saurait donc partager les craintes émises par l'autorité intimée, selon lesquelles le prénommé risque de prolonger son séjour en Suisse pour y trouver des conditions de vie meilleures que dans sa patrie.</w:t>
      </w:r>
    </w:p>
    <w:p>
      <w:r>
        <w:rPr>
          <w:b/>
        </w:rPr>
        <w:t>E. 9.4</w:t>
      </w:r>
    </w:p>
    <w:p>
      <w:r>
        <w:t>Par ailleurs, il est manifeste que les autres conditions cumulatives de l'art. 5 LEtr sont remplies, respectivement qu'aucun motif de refus au sens de l'art. 16 OEV n'est réalisé.</w:t>
      </w:r>
    </w:p>
    <w:p>
      <w:r>
        <w:rPr>
          <w:b/>
        </w:rPr>
        <w:t>E. 9.5</w:t>
      </w:r>
    </w:p>
    <w:p>
      <w:r>
        <w:t>Compte tenu de ce qui précède, le Tribunal retient que les attaches de A._______ au Kosovo sont suffisamment étroites pour en déduire que son retour au pays à l'échéance du visa requis peut être tenu, avec un haut degré de probabilité, pour garanti conformément aux exigences posées par l'art. 5 al. 2 LEtr, et que, par conséquent, l'intéressé remplit les conditions d'entrée en Suisse.</w:t>
      </w:r>
    </w:p>
    <w:p>
      <w:r>
        <w:rPr>
          <w:b/>
        </w:rPr>
        <w:t>E. 10</w:t>
      </w:r>
    </w:p>
    <w:p>
      <w:r>
        <w:t>Tout bien considéré, le TAF estime, dès lors, qu'il serait inopportun de refuser à l'invité l'autorisation d'entrée en Suisse, l'intérêt privé de ce dernier à pouvoir venir dans ce pays pour rendre visite à la famille de son fils - laquelle s'est agrandie avec la venue au monde d'un petit-fils au printemps 2009 (cf. let. F supra) - durant un mois prévalant sur l'intérêt public contraire à refuser le visa sollicité, au vu des garanties apportées quant à une sortie de Suisse dans le délai fixé. Le recours est en conséquence admis, la décision attaquée annulée et la cause renvoyée pour nouvel examen à l'ODM, lequel devra déterminer si A._______ remplit les conditions d'entrée posées par le code frontières Schengen ou s'il convient, le cas échéant, de lui octroyer un visa à validité territoriale limitée en application de l'art. 2 al. 4 OEV.</w:t>
      </w:r>
    </w:p>
    <w:p>
      <w:r>
        <w:rPr>
          <w:b/>
        </w:rPr>
        <w:t>E. 11</w:t>
      </w:r>
    </w:p>
    <w:p>
      <w:r>
        <w:t>Obtenant gain de cause, les recourants n'ont pas à supporter les frais de procédure (cf. art. 63 al. 1 PA a contrario) et ont droit à des dépens (cf. art. 64 al. 1 PA en relation avec l'art. 7 al. 1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900.-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