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C-8382/2008 vom 31. März 2011</w:t>
      </w:r>
    </w:p>
    <w:p>
      <w:r>
        <w:t>Bundesverwaltungsgericht, 2011-03-31, DE</w:t>
      </w:r>
    </w:p>
    <w:p>
      <w:r>
        <w:rPr>
          <w:b/>
        </w:rPr>
        <w:t xml:space="preserve">Quelle: </w:t>
      </w:r>
      <w:r>
        <w:t>https://mcp.opencaselaw.ch/entscheid/bvger_C-8382_2008</w:t>
      </w:r>
    </w:p>
    <w:p>
      <w:r>
        <w:t>FR: TAF C-8382/2008 du 31 mars 2011</w:t>
      </w:r>
    </w:p>
    <w:p>
      <w:r>
        <w:t>IT: TAF C-8382/2008 del 31 marzo 2011</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als Verfügungsadressatin zur Anfechtung legitimiert (Art. 48 Abs. 1 VwVG). Auf die frist- und formgerecht eingereichte Beschwerde ist einzutreten (Art. 50 und Art. 52 VwVG).</w:t>
      </w:r>
    </w:p>
    <w:p>
      <w:r>
        <w:rPr>
          <w:b/>
        </w:rPr>
        <w:t>E. 1.4</w:t>
      </w:r>
    </w:p>
    <w:p>
      <w:r>
        <w:t>Das Bundesverwaltungsgericht entscheidet endgültig (Art. 83 Bst. c Ziff. 3 und Bst. d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Am 1. Januar 2008 trat das zweite Paket der Asylgesetzrevision vom 16. Dezember 2005 in Kraft, mit dem durch entsprechende Änderungen des Asylgesetzes und des auf denselben Zeitpunkt in Kraft gesetzten Bundesgesetzes vom 16. Dezember 2005 über die Ausländerinnen und Ausländer (AuG, SR 142.20) ein Systemwechsel von der individuellen Sicherheitsleistungs- und Rückerstattungspflicht zur Sonderabgabe vollzogen wurde.</w:t>
      </w:r>
    </w:p>
    <w:p>
      <w:r>
        <w:rPr>
          <w:b/>
        </w:rPr>
        <w:t>E. 3.2</w:t>
      </w:r>
    </w:p>
    <w:p>
      <w:r>
        <w:t>Der 2. Abschnitt des 5. Kapitels des Asylgesetzes in seiner Fassung vom 26. Juni 1998, die bis 31. Dezember 2007 in Geltung stand (AS 1999 2262), regelt die Rückerstattungs- und Sicherheitsleistungspflicht von Personen, die sich gestützt auf das Asylgesetz in der Schweiz aufhalten. Gemäss Art. 85 Abs. 1 AsylG (in der Fassung vom 26. Juni 1998) haben sie - soweit zumutbar - die Kosten der Fürsorge, der Ausreise und des Vollzugs sowie die Kosten des Rechtsmittelverfahrens zurückzuerstatten. Asylsuchende und Schutzbedürftige ohne Aufenthaltsbewilligung sind gemäss Art. 86 AsylG (in der Fassung vom 26. Juni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(in der Fassung vom 26. Juni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Die Asylverordnung 2 vom 11. August 1999 über Finanzierungsfragen in ihrer ursprünglichen, bis 31. Dezember 2007 geltenden Fassung (AsylV 2, SR 142.312; AS 1999 2318)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in der Fassung vom 11. August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2 in der Fassung vom 11. August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3.3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 Art. 88 AuG unterstellt vorläufig Aufgenommene der Sonderabgabepflicht und der Vermögenswertabnahme nach Art. 86 und Art. 87 AsylG und erklärt die Bestimmungen des 2. Abschnitts des 5. Kapitels des Asylgesetzes für anwendbar.</w:t>
      </w:r>
    </w:p>
    <w:p>
      <w:r>
        <w:rPr>
          <w:b/>
        </w:rPr>
        <w:t>E. 3.4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3.5</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zur Änderung des AsylG) und für vorläufig Aufgenommene (Art. 126a Abs. 1 bis 3 AuG) parallel geregelt. Es gilt der Grundsatz, dass das neue Recht sofort zur Anwendung gelangt (Abs. 1 der Übergangsbestimmungen zur Änderung des AsylG, Art.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zur Änderung des AsylG, Art. 126a Abs. 1 AuG; der in den Übergangsbestimmungen teilweise enthaltene Vorbehalt zu Gunsten einer altrechtlichen Zwischenabrechnung ist für praktische Bedürfnisse ohne Relevanz).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w:t>
      </w:r>
    </w:p>
    <w:p>
      <w:r>
        <w:rPr>
          <w:b/>
        </w:rPr>
        <w:t>E. 3.6</w:t>
      </w:r>
    </w:p>
    <w:p>
      <w:r>
        <w:t>Die Übergangsbestimmungen zur am 24. Oktober 2007 beschlossenen Änderung der Asylverordnung 2 (nachfolgend: Übergangsbestimmungen zur Änderung der AsylV 2), soweit für die Beurteilung der vorliegenden Streitsache von Bedeutung, stützen sich auf die zitierte Rechtsetzungsermächtigung. Deren Abs. 6 bestimmt, dass Asylsuchenden, vorläufig Aufgenommenen und Schutzbedürftigen ohne Aufenthaltsbewilligung, die mit Inkrafttreten dieser Verordnungsänderung der Sonderabgabe nach Artikel 86 des AsylG unterstehen, die Zeit seit Aufnahme der ersten sicherheitsleistungspflichtigen Erwerbstätigkeit oder die Zeit seit Eintritt der Rechtskraft der Verfügung über eine erste Vermögenswertabnahme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wird. Abs. 8 schliesslich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4.1</w:t>
      </w:r>
    </w:p>
    <w:p>
      <w:r>
        <w:t>Die vorliegende Streitsache beschlägt die Überführung des alten Sicherheitsleistungssystems mit individueller Abrechnung über die zurechenbaren Kosten in das neue System der Sonderabgabe. Die Beschwerdeführerin äufnete noch unter der Geltung des alten Rechts als vorläufig Aufgenommene ihr Sicherheitskonto ab Juli 2005 mit Lohnabzügen. Zur Schlussabrechnung kam es mangels Verwirklichung eines Schlussabrechnungsgrundes (Ausreise aus der Schweiz, Erhalt einer Aufenthalts- oder Niederlassungsbewilligung oder zehn Jahre Mindestaufenthalt in der Schweiz) nicht mehr. Die Beschwerdeführerin war damals noch keine zehn Jahre in der Schweiz und erhielt erst im Jahre 2010 eine Jahresaufenthaltsbewilligung. Die Vorinstanz sah sich daher nach dem Inkrafttreten des neuen Rechts veranlasst, das Sicherheitskonto gestützt auf Abs. 6 bis 8 der Übergangsbestimmungen zur Änderung der AsylV 2 aufzulösen. Zu diesem Zweck erliess sie die angefochtene Verfügung.</w:t>
      </w:r>
    </w:p>
    <w:p>
      <w:r>
        <w:rPr>
          <w:b/>
        </w:rPr>
        <w:t>E. 4.2</w:t>
      </w:r>
    </w:p>
    <w:p>
      <w:r>
        <w:t>Das Bundesverwaltungsgericht hat sich in einem vergleichbaren Fall in einem Grundsatzurteil inzwischen zur rechtssatzmässigen Ausgestaltung der Sonderabgabe, zu den entsprechenden Übergangsbestimmungen sowie zur konkreten Handhabung einzelner Verordnungsbestimmungen geäussert und befunden, die getroffene Regelung erweise sich als verfassungskonform und der Bundesrat habe seine Verordnungskompetenz delegationskonform wahrgenommen (zum Ganzen vgl. Urteil des Bundesverwaltungsgerichts C-7179/2008 vom 21. Dezember 2010 E. 3 und 6). Auch im konkreten Fall ist die Vorinstanz rechtmässig vorgegangen und hat - wie bereits dargelegt - korrekterweise das neue Recht angewendet und die Betroffene der Sonderabgabepflicht unterstellt. Dabei wurde der Beschwerdeführerin die Hälfte des anlässlich der Schlussabrechnung des Ehegatten zurückzuerstattenden Betrages (Fr. 4'660.-) an die zu leistende Sonderabgabe von Fr. 15'000.- angerechnet und der noch offene Betrag von Fr. 10'340.- dem BFM gutgeschrieben, obwohl die damals durch die Beschwerdeführerin während der Ehe (bis zur Erteilung der Aufenthaltsbewilligung an den Ehemann) verursachten Kosten nur Fr. 1'520.- betrugen. Weil das Konto nach der Gutschreibung des obgenannten Betrages per 12. November 2008 einen Negativsaldo aufweist, gibt es zudem kein Restguthaben, das der Beschwerdeführerin auszuzahlen wäre. Die Beschwerdeführerin nimmt in ihrer nur rudimentär begründeten Rechtsmitteleingabe wenig Bezug auf die angefochtene Verfügung. Soweit ihre Einwände auf eine Überprüfung der individuellen Festlegung der rückerstattungspflichtigen Kosten hinauslaufen, erweisen sie sich zum Vornherein als unbehelflich, erfolgt doch die Auflösung der nicht schlussabrechnungsfähigen Sicherheitskonten, wie an anderer Stelle dargetan, ohne dass eine individuelle Abrechnung über die zurechenbaren Kosten vorzunehmen wäre (vgl. Urteil des Bundesverwaltungsgerichts C-7179/2008 vom 21. Dezember 2010 E. 6.2.4 und 6.3.2). Demnach spielt es auch keine Rolle, ob und wie viel Kosten die Beschwerdeführerin verursacht hat. Sonstiges wird in der Beschwerde nicht geltend gemacht.</w:t>
      </w:r>
    </w:p>
    <w:p>
      <w:r>
        <w:rPr>
          <w:b/>
        </w:rPr>
        <w:t>E. 5</w:t>
      </w:r>
    </w:p>
    <w:p>
      <w:r>
        <w:t>Abschliessend ist festzuhalten, dass die angefochtene Verfügung im Lichte von Art. 49 VwVG nicht zu beanstanden ist. Die Beschwerde ist deshalb abzuweisen.</w:t>
      </w:r>
    </w:p>
    <w:p>
      <w:r>
        <w:rPr>
          <w:b/>
        </w:rPr>
        <w:t>E. 6</w:t>
      </w:r>
    </w:p>
    <w:p>
      <w:r>
        <w:t>Bei diesem Ausgang des Verfahrens sind der Beschwerdeführerin die Verfahrenskosten aufzuerlegen (Art. 63 Abs. 1 VwVG i.V.m. Art. 1, Art. 2 und Art.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