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C-8379/2015 vom 14. März 2017</w:t>
      </w:r>
    </w:p>
    <w:p>
      <w:r>
        <w:t>Bundesverwaltungsgericht, 2017-03-14, DE</w:t>
      </w:r>
    </w:p>
    <w:p>
      <w:r>
        <w:rPr>
          <w:b/>
        </w:rPr>
        <w:t xml:space="preserve">Quelle: </w:t>
      </w:r>
      <w:r>
        <w:t>https://mcp.opencaselaw.ch/entscheid/bvger_C-8379_2015</w:t>
      </w:r>
    </w:p>
    <w:p>
      <w:r>
        <w:t>FR: TAF C-8379/2015 du 14 mars 2017</w:t>
      </w:r>
    </w:p>
    <w:p>
      <w:r>
        <w:t>IT: TAF C-8379/2015 del 14 marzo 2017</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13. November 2015 berührt und hat ein schutzwürdiges Interesse an deren Anfechtung (Art. 59 ATSG). Er ist daher zur Beschwerde legitimiert.</w:t>
      </w:r>
    </w:p>
    <w:p>
      <w:r>
        <w:rPr>
          <w:b/>
        </w:rPr>
        <w:t>E. 1.4</w:t>
      </w:r>
    </w:p>
    <w:p>
      <w:r>
        <w:t>Der Beschwerdeführer weist in seiner Beschwerde darauf hin, die Verfügung vom 13. November 2015 erst am 17. Dezember 2015 erhalten zu haben. Die Beschwerde datiert vom 17. Dezember 2015 und ist am 28. Dezember 2015 beim Bundesverwaltungsgericht eingegangen Die Vorinstanz bestreitet nicht, dass die Beschwerde fristgerecht eingereicht wurde. Es ist deshalb in Anwendung des Rügeprinzips (vgl. nachfolgend E. 2.3) und des Grundsatzes, dass die Vorinstanz im Bestreitungsfall den Nachweis der nicht rechtzeitigen Eröffnung der Verfügung zu erbringen hat, von einer frist- und formgerechten Beschwerde auszugehen, weshalb darauf einzutreten ist (60 ATSG, Art. 52 VwVG und Art. 63 Abs. 4 VwVG).</w:t>
      </w:r>
    </w:p>
    <w:p>
      <w:r>
        <w:rPr>
          <w:b/>
        </w:rPr>
        <w:t>E. 1.5</w:t>
      </w:r>
    </w:p>
    <w:p>
      <w:r>
        <w:t>Der Beschwerdeführer ist kosovarischer Staatsangehöriger und wohnt im Kosovo. Das Sozialversicherungsabkommen zwischen der Schweiz und der ehemaligen Föderativen Volksrepublik Jugoslawien (SR 0.831.109.818.1; nachfolgend: Sozialversicherungsabkommen) ist ab dem 1. April 2010 nicht weiter auf kosovarische Staatsangehörige anwendbar (BGE 139 V 263). Dies hat zur Folge, dass IV-Renten von Staatsangehörigen des Kosovos, die für den Zeitraum nach dem 31. März 2010 zugesprochen werden, gemäss Art. 6 Abs. 2 Satz 2 IVG nicht mehr ins Ausland exportierbar sind. Sie werden nur noch innerhalb der Schweiz gewährt. Die laufenden Renten geniessen demgegenüber - wie vorliegend - gemäss Art. 25 (Übergangsbestimmungen) des Sozialversicherungsabkommens den Besitzstand (BGE 139 V 335 E. 6.1). Da der Beschwerdeführer Angehöriger eines Nichtvertragsstaates ist, gilt für die Frage der Voraussetzungen für den Erlass einer Rückforderung von Leistungen ausschliesslich Schweizer Recht.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2.3</w:t>
      </w:r>
    </w:p>
    <w:p>
      <w:r>
        <w:t>Zu beachten ist sodann das Rügeprinzip, wonach die Beschwerdeinstanz nicht zu prüfen hat, ob sich die angefochtene Verfügung unter schlechthin allen in Frage kommenden Aspekten als korrekt erweist, son-dern im Prinzip nur die (rechtzeitig) vorgebrachten Beanstandungen unter-sucht. Von den Verfahrensbeteiligten nicht aufgeworfene Rechtsfragen werden von der Beschwerdeinstanz nur geprüft, wenn hierzu aufgrund der Parteivorbringen oder anderer sich aus den Akten ergebenden Anhalts-punkte hinreichender Anlass besteht (BGE 119 V 347 E. 1a).</w:t>
      </w:r>
    </w:p>
    <w:p>
      <w:r>
        <w:rPr>
          <w:b/>
        </w:rPr>
        <w:t>E. 2.4</w:t>
      </w:r>
    </w:p>
    <w:p>
      <w:r>
        <w:t>Vorliegend ist strittig und vom Bundesverwaltungsgericht zu prüfen, ob die Vorinstanz das Gesuch des Beschwerdeführers um Erlass der Rückerstattung zu Recht abgewiesen hat (Verfügung vom 13. November 2015, doc. 59). Denn aus dem Text der Beschwerde geht klar hervor, dass er die Rückforderungsverfügung der Vorinstanz vom 7. Juli 2015 nicht anfechten, sondern nach Ablauf der Rechtsmittelfrist einzig ein Erlassgesuch stellen will. Demnach ist die Rückforderungsverfügung in Rechtskraft erwachsen und nicht mehr Anfechtungsobjekt.</w:t>
      </w:r>
    </w:p>
    <w:p>
      <w:r>
        <w:rPr>
          <w:b/>
        </w:rPr>
        <w:t>E. 3.1</w:t>
      </w:r>
    </w:p>
    <w:p>
      <w:r>
        <w:t>Gemäss Art. 25 Abs. 1 ATSG sind unrechtmässig bezogene Leistun-gen zurückzuerstatten. Wer Leistungen in gutem Glauben empfangen hat, muss sie nicht zurückerstatten, wenn eine grosse Härte vorliegt.</w:t>
      </w:r>
    </w:p>
    <w:p>
      <w:r>
        <w:rPr>
          <w:b/>
        </w:rPr>
        <w:t>E. 3.2</w:t>
      </w:r>
    </w:p>
    <w:p>
      <w:r>
        <w:t>Gemäss Art. 4 Abs.1 der Verordnung vom 11. September 2002 über den Allgemeinen Teil des Sozialversicherungsrechts (ATSV, SR 830.11) wird die Rückerstattung unrechtmässig gewährter Leistungen, die in gutem Glauben empfangen wurden, bei Vorliegen einer grossen Härte ganz oder teilweise erlassen.</w:t>
      </w:r>
    </w:p>
    <w:p>
      <w:r>
        <w:rPr>
          <w:b/>
        </w:rPr>
        <w:t>E. 3.3</w:t>
      </w:r>
    </w:p>
    <w:p>
      <w:r>
        <w:t>Gemäss Art. 3 ATSV wird über den Umfang der Rückforderung eine Verfügung erlassen (Abs. 1); der Versicherer weist in seiner Rückforderungsverfügung auf die Möglichkeit des Erlasses hin (Abs. 2).</w:t>
      </w:r>
    </w:p>
    <w:p>
      <w:r>
        <w:rPr>
          <w:b/>
        </w:rPr>
        <w:t>E. 3.4</w:t>
      </w:r>
    </w:p>
    <w:p>
      <w:r>
        <w:t>Nach Art. 4 ATSV wird der Erlass auf schriftliches Gesuch hin gewährt (Abs. 4). Der Erlass wird in einer Verfügung angeordnet (Abs. 5).</w:t>
      </w:r>
    </w:p>
    <w:p>
      <w:r>
        <w:rPr>
          <w:b/>
        </w:rPr>
        <w:t>E. 4.1</w:t>
      </w:r>
    </w:p>
    <w:p>
      <w:r>
        <w:t>Die Festlegung einer (allfälligen) Rückerstattung von Leistungen erfolgt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Rücker-stattung an und schliesslich ist drittens über den Erlass der zurückzuerstat-tenden Leistung zu entscheiden (vgl. UELI KIESER, ATSG-Kommentar, 2. Aufl. 2009, Art. 25 N. 8).</w:t>
      </w:r>
    </w:p>
    <w:p>
      <w:r>
        <w:rPr>
          <w:b/>
        </w:rPr>
        <w:t>E. 4.2</w:t>
      </w:r>
    </w:p>
    <w:p>
      <w:r>
        <w:t>Vorliegend hat die Vorinstanz zunächst in ihren unangefochtenen Verfügungen vom 3. Juli 2015 (doc. 45, 46, 47) die Rente mit dem Hinweis auf die Zivilstandsänderung rückwirkend herabgesetzt. In einem zweiten Schritt hat die Vorinstanz in der - ebenfalls nicht angefochtenen - Verfügung vom 7. Juli 2015 (doc. 48) die Rückerstattung von Fr. 7'079.- angeordnet und nebst einer ordentlichen Rechtsmittelbelehrung den Hinweis angebracht, dass mit dem beigelegten Formular ein Gesuch um Erlass der Rückforderung gestellt werden könne. Da der Beschwerdeführer dagegen keine Beschwerde erhob, steht die Rechtsbeständigkeit der Rückerstattungsverfügung fest (vgl. dazu Urteil des BVGer C-3884/2015 vom 21. April 2016 E. 3.5 mit Hinweis auf das Urteil des BGer 9C_466/2014 vom 2. Juli 2015 E. 3.1). Nun stellt der Beschwerdeführer ein Erlassgesuch, über welches die Vorinstanz zu entscheiden hat. Das dreistufige Verfahren wurde somit eingehalten.</w:t>
      </w:r>
    </w:p>
    <w:p>
      <w:r>
        <w:rPr>
          <w:b/>
        </w:rPr>
        <w:t>E. 5.1</w:t>
      </w:r>
    </w:p>
    <w:p>
      <w:r>
        <w:t>Zur Begründung des Erlassgesuchs macht der Beschwerdeführer geltend, er habe die zu viel geleisteten Renten im guten Glauben bezogen und es liege eine grosse Härte vor. Die Vorinstanz bestreitet nicht, dass hier ein Härtefall vorliegt. Sie bestreitet jedoch unter Hinweis auf dessen Meldepflichtverletzung, dass er in gutem Glauben gehandelt habe (vgl. Vernehmlassung [B-act. 8]. Zu prüfen ist deshalb nur noch, ob sich der Beschwerdeführer beim Empfang der zu hohen Rente in gutem Glauben befunden hat.</w:t>
      </w:r>
    </w:p>
    <w:p>
      <w:r>
        <w:rPr>
          <w:b/>
        </w:rPr>
        <w:t>E. 5.2</w:t>
      </w:r>
    </w:p>
    <w:p>
      <w:r>
        <w:t>Die Rechtsprechung unterscheidet zwischen dem guten Glauben als fehlendem Unrechtsbewusstsein und der Frage, ob sich jemand unter den gegebenen Umständen auf den guten Glauben berufen kann oder bei zumutbarer Aufmerksamkeit den bestehenden Rechtsmangel hätte erkennen können (vgl. statt vieler: BGE 122 V 221 E. 3; BGE 102 V 245 E. "a"). Der gute Glaube entfällt nicht nur bei wissentlichem Bezug zu Unrecht ausgerichteter Leistungen. Vielmehr darf sich der Leistungsempfänger nicht nur keiner böswilligen Absicht, sondern auch keiner groben Nachlässigkeit schuldig gemacht haben (BGE 102 V 245 E. a).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(vgl. Urteil des Bundesgerichts 9C_921/2010 vom 19. Januar 2011 E. 2 und Hinweise). Eine grobe Fahrlässigkeit ist gegeben, wenn jemand das ausser Acht lässt, was jedem verständigen Menschen in gleicher Lage und unter gleichen Umständen als beachtlich hätte einleuchten müssen (BGE 110 V 176 E. 3 d; BGE 108 V 202 E. 3a m.H.; BGE 106 V 24 E. 1b).</w:t>
      </w:r>
    </w:p>
    <w:p>
      <w:r>
        <w:rPr>
          <w:b/>
        </w:rPr>
        <w:t>E. 5.3</w:t>
      </w:r>
    </w:p>
    <w:p>
      <w:r>
        <w:t>Wie in anderen Bereichen beurteilt sich die geforderte Sorgfalt nach ei-nem objektiven Massstab, wobei jedoch das den Betroffenen in ihrer Sub-jektivität Mögliche und Zumutbare (Urteilsfähigkeit, Gesundheitszustand Bildungsgrad etc.) nicht ausgeblendet werden darf (Urteil des Eidgenös-sischen Versicherungsgerichts [EVG, heute Bundesgericht] I 622/05 vom 14. August 2006 E. 4.4, publiziert in SVR 2007 IV Nr. 13 S. 49; Urteile des Bundesgerichts 9C_286/2010 vom 8. Juni 2010 E. 2.1 und 9C_605/2010 vom 18. Oktober 2010 E. 3; Urteil des BVGer C-6061/2011 vom 25. Juni 2013 E. 4.1).</w:t>
      </w:r>
    </w:p>
    <w:p>
      <w:r>
        <w:rPr>
          <w:b/>
        </w:rPr>
        <w:t>E. 5.4</w:t>
      </w:r>
    </w:p>
    <w:p>
      <w:r>
        <w:t>Ob eine versicherte Person gutgläubig ist, muss in jedem Einzelfall gestützt auf die konkreten Umstände abgeklärt werden (vgl. UELI KIESER, a.a.O., Art. 25 N. 49, mit Hinweis auf das Urteil des Bundesgerichts 8C_269/2009 E. 5.2.1).</w:t>
      </w:r>
    </w:p>
    <w:p>
      <w:r>
        <w:rPr>
          <w:b/>
        </w:rPr>
        <w:t>E. 6.1</w:t>
      </w:r>
    </w:p>
    <w:p>
      <w:r>
        <w:t>Vorliegend erfolgte die Wiederheirat des Beschwerdeführers am 29. Oktober 2013. Auf der jährlich auszufüllenden Lebens-, Zivilstands- und Wohnsitzbescheinigung wurde am 13. Juni 2014 die Frage, ob er weiterhin verwitwet sei, mit "ja" beantwortet (doc. 38), erst am 11. Juni 2015 mit "nein" (doc. 43 S. 1). Er hat somit die Änderung seines Zivilstandes erst nach ca. 1 ½ Jahren, erst auf ausdrückliche Aufforderung hin, gemeldet. In der Verfügung vom 20. April 2006 (doc. 17), in welcher seine bisherige Dreiviertelsrente unter Hinweis auf die erfolgte Zivilstandsänderung auf eine ganze Rente erhöht wurde, wurde der Beschwerdeführer auf seine "unverzüglichen" Meldepflichten - ausdrücklich auch hinsichtlich einer Änderung des Zivilstandes (z.B. Tod, Heirat, etc.) - hingewiesen (S. 1 der Verfügung), ebenso in etlichen von der Vorinstanz aufgelisteten Verfügungen (vgl. Vernehmlassung B-act. 8).</w:t>
      </w:r>
    </w:p>
    <w:p>
      <w:r>
        <w:rPr>
          <w:b/>
        </w:rPr>
        <w:t>E. 6.2</w:t>
      </w:r>
    </w:p>
    <w:p>
      <w:r>
        <w:t>Es ist zu prüfen, ob der Beschwerdeführer den Inhalt der Verfügung bezüglich der "unverzüglichen Meldepflicht" verstanden hat. Der Beschwerdeführer hat von 1979 bis 1982 in seiner Heimat das Gymnasium besucht (doc. 1 S. 4). Er hat von 1996 bis 2001 in X.______ bzw. Y._______ gelebt und dort als Office-Bursche bzw. Hilfskoch gearbeitet (S. 3, 4). Er ist ohne Zweifel der deutschen Sprache mächtig, auch schriftlich (vgl. Eingaben vom 25. September 2015 [doc. 52], vom 17. Dezember 2015 und vom 11. Januar 2016 [B-act. 1, 4]). Die in den Verfügungen gemachten Ausführungen zur Frage der Meldepflicht sind eindeutig und klar. Es steht deshalb fest, dass er die Fähigkeit besass nachzuvollziehen, dass am 20. April 2006 seine Rente einzig wegen dem Hinschied seiner Frau erhöht worden ist. Weiter steht fest, dass er in der Lage war nachzuvollziehen, dass der Hinweis auf seine Meldepflicht bei einer Zivilstandsänderung bedeutet, dass die Rente bei Wiederheirat angepasst wird. Falls er dies nicht mit Bestimmtheit gewusst hat, hätte er sich mit der von ihm zu erwartenden Umsicht Rechenschaft darüber ablegen müssen, dass ihm die Rente nicht zusteht (vgl. dazu Kieser, a.a.O. N. 50, mit Hinweis auf das Urteil des Bundesgericht I 622/05 E. 3, 4). Zudem hat er seit 2006 das jährliche Formular ausfüllen müssen, auch bezüglich der Frage, ob er weiterhin verwitwet sei. Er musste also wissen, dass ein Zusammenhang besteht zwischen dem Zivilstand und der Höhe seiner Rente. Insgesamt hat der Beschwerdeführer nicht davon ausgehen können, dass bei einer Wiederheirat sich in Sachen Rente nichts verändern würde. Er hätte der Meldepflicht unter diesen Umständen nachkommen müssen, und zwar - wie in der Verfügung ausdrücklich erwähnt - unverzüglich. Dies hat er unterlassen und er hat sogar auf dem jährlichen Formular - also auf ausdrückliche Nachfrage hin - für das Jahr 2014 nicht auf seine Wiederheirat im Jahr 2013 hingewiesen, sondern das Feld "verwitwet" angekreuzt.</w:t>
      </w:r>
    </w:p>
    <w:p>
      <w:r>
        <w:rPr>
          <w:b/>
        </w:rPr>
        <w:t>E. 6.3</w:t>
      </w:r>
    </w:p>
    <w:p>
      <w:r>
        <w:t>In Anbetracht dieser konkreten Umstände ist insgesamt mit zumindest überwiegender Wahrscheinlichkeit davon auszugehen, dass der Beschwerdeführer die Ausführungen zur unverzüglichen Meldepflicht verstanden hat und sich der Konsequenzen einer nicht erfolgten Meldung oder einer falschen Meldung, nämlich die fragliche Weitergewährung der ganzen Rente statt einer Herabsetzung auf eine Dreiviertelsrente, bewusst war. Deshalb kann die Verletzung der Meldepflicht zumindest nicht als leicht qualifiziert werden. Der Beschwerdeführer kann sich deshalb nicht auf den guten Glauben berufen.</w:t>
      </w:r>
    </w:p>
    <w:p>
      <w:r>
        <w:rPr>
          <w:b/>
        </w:rPr>
        <w:t>E. 6.4</w:t>
      </w:r>
    </w:p>
    <w:p>
      <w:r>
        <w:t>Unerheblich ist vorliegend, ob der Beschwerdeführer am 13. Juni 2014 das Formular, in welchem zu Unrecht bestätigt wurde, er sei weiterhin verwitwet, eigenhändig ausgefüllt und unterzeichnet hat - die Schrift lässt sich nicht zuordnen - oder nicht; er trägt für die Erfüllung der Meldepflicht die alleinige Verantwortung und hat bei einer Meldepflichtverletzung die entsprechenden Konsequenzen zu tragen. Er macht im Übrigen auch nicht geltend, die Behörde oder eine Drittperson habe das Formular falsch ausgefüllt oder er habe davon keine Kenntnis gehabt.</w:t>
      </w:r>
    </w:p>
    <w:p>
      <w:r>
        <w:rPr>
          <w:b/>
        </w:rPr>
        <w:t>E. 6.5</w:t>
      </w:r>
    </w:p>
    <w:p>
      <w:r>
        <w:t>Die Vorinstanz hat deshalb das Erlassgesuch zu Recht abgewiesen. Die Beschwerde ist abzuweisen.</w:t>
      </w:r>
    </w:p>
    <w:p>
      <w:r>
        <w:rPr>
          <w:b/>
        </w:rPr>
        <w:t>E. 6.6</w:t>
      </w:r>
    </w:p>
    <w:p>
      <w:r>
        <w:t>Die Vorinstanz wird bei Rückforderungen oder bei der Verrechnung von künftigen Invalidenleistungen zu prüfen haben, ob das betreibungsrechtliche Existenzminimum des Beschwerdeführers tangiert wird, insbesondere unter Berücksichtigung der Tatsache, dass sie selbst eine grosse Härte festgestellt hat (vgl. dazu BGE 138 V 402 E. 4.2, unter Hinweis auf BGE 136 V 286 E. 6.1 und BGE 131 V 249 E. 1.2; Urteil des BVGer C-3484/2014 vom 27. Februar 2015 E. 6.5.2, unter Hinweis auf RWL Rz. 10919 ff. [Stand 1.12.2012]).</w:t>
      </w:r>
    </w:p>
    <w:p>
      <w:r>
        <w:rPr>
          <w:b/>
        </w:rPr>
        <w:t>E. 7</w:t>
      </w:r>
    </w:p>
    <w:p>
      <w:r>
        <w:t>Das mit Eingabe vom 11. Januar 2016 gestellte Gesuch um unentgeltliche Prozessführung ist gutzuheissen. Es ist begründet und wird plausibilisiert durch die Tatsache, dass die Vorinstanz in ihrer Berechnung vom 5. November 2015 (doc. 55) festgestellt hat, dass ein Härtefall vorliege.</w:t>
      </w:r>
    </w:p>
    <w:p>
      <w:r>
        <w:rPr>
          <w:b/>
        </w:rPr>
        <w:t>E. 8</w:t>
      </w:r>
    </w:p>
    <w:p>
      <w:r>
        <w:t>Da der ehemalige Vertreter des Beschwerdeführers nicht erreichbar ist und der Beschwerdeführer trotz Aufforderung und Androhung der Säumnisfolgen keine Zustelladresse in der Schweiz angegeben hat, ist die Verfügung in Anwendung von Art. 36 VwVG im Schweizerischen Bundesblatt zu eröffnen.</w:t>
      </w:r>
    </w:p>
    <w:p>
      <w:r>
        <w:rPr>
          <w:b/>
        </w:rPr>
        <w:t>E. 9</w:t>
      </w:r>
    </w:p>
    <w:p>
      <w:r>
        <w:t>Zu befinden bleibt über die Verfahrenskosten und eine allfällige Parteientschädigung.</w:t>
      </w:r>
    </w:p>
    <w:p>
      <w:r>
        <w:rPr>
          <w:b/>
        </w:rPr>
        <w:t>E. 9.1</w:t>
      </w:r>
    </w:p>
    <w:p>
      <w:r>
        <w:t>Das Beschwerdeverfahren bei Streitigkeiten um die Bewilligung oder die Verweigerung von IV-Leistungen vor dem Bundesverwaltungsgericht ist kostenpflichtig (Art. 69 Abs. 1bis i.V.m. Abs. 2 IVG). Entsprechend dem Ausgang des Verfahrens hätte der Beschwerdeführer die Verfahrenskosten zu tragen (Art. 63 Abs. 1 VwVG). Allerdings wird ihm die unentgeltliche Rechtspflege gewährt (E. 6). Auf die Erhebung von Verfahrenskosten ist deshalb zu verzichten</w:t>
      </w:r>
    </w:p>
    <w:p>
      <w:r>
        <w:rPr>
          <w:b/>
        </w:rPr>
        <w:t>E. 9.2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w:t>
      </w:r>
    </w:p>
    <w:p>
      <w:r>
        <w:rPr>
          <w:b/>
        </w:rPr>
        <w:t>E. 9.3</w:t>
      </w:r>
    </w:p>
    <w:p>
      <w:r>
        <w:t>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