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C-8377/2010 vom 16. Mai 2013</w:t>
      </w:r>
    </w:p>
    <w:p>
      <w:r>
        <w:t>Bundesverwaltungsgericht, 2013-05-16, DE</w:t>
      </w:r>
    </w:p>
    <w:p>
      <w:r>
        <w:rPr>
          <w:b/>
        </w:rPr>
        <w:t xml:space="preserve">Quelle: </w:t>
      </w:r>
      <w:r>
        <w:t>https://mcp.opencaselaw.ch/entscheid/bvger_C-8377_2010</w:t>
      </w:r>
    </w:p>
    <w:p>
      <w:r>
        <w:t>FR: TAF C-8377/2010 du 16 mai 2013</w:t>
      </w:r>
    </w:p>
    <w:p>
      <w:r>
        <w:t>IT: TAF C-8377/2010 del 16 maggio 2013</w:t>
      </w:r>
    </w:p>
    <w:p>
      <w:pPr>
        <w:pStyle w:val="Heading2"/>
      </w:pPr>
      <w:r>
        <w:t>Regeste</w:t>
      </w:r>
    </w:p>
    <w:p>
      <w:r>
        <w:t>Normenkontrolle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61 Abs. 1 BVG und Art. 33 Bst. i VGG. Eine Ausnahme im Sinne von Art. 32 VGG liegt in casu nicht vor.</w:t>
      </w:r>
    </w:p>
    <w:p>
      <w:r>
        <w:rPr>
          <w:b/>
        </w:rPr>
        <w:t>E. 1.2</w:t>
      </w:r>
    </w:p>
    <w:p>
      <w:r>
        <w:t>Anfechtungsgegenstand des vorliegenden Verfahrens ist der Verwaltungsakt des Amts für berufliche Vorsorge und Stiftungen des Kantons Zürich vom 3. November 2010, welcher ohne Zweifel eine Verfügung im Sinne von Art. 5 VwVG darstellt. Die Beschwerde gegen diese Verfügung ist frist- und formgerecht eingegangen (Art. 50 und 52 VwVG). Durch die Verfügung ist die Beschwerdeführerin als betroffene Vorsorgeeinrichtung, deren Vorsorgereglement mit der angefochtenen Verfügung in gewissen Punkten ausser Kraft gesetzt worden ist, besonders berührt und hat ein schutzwürdiges Interesse an deren Änderung oder Aufhebung (Art. 48 Abs. 1 Bst. b und c VwVG), so dass sie zur Beschwerde legitimiert ist. Nachdem auch der eingeforderte Kostenvorschuss innert der gesetzten Frist geleistet wurde, ist auf das ergriffene Rechtsmittel einzutreten.</w:t>
      </w:r>
    </w:p>
    <w:p>
      <w:r>
        <w:rPr>
          <w:b/>
        </w:rPr>
        <w:t>E. 2.1</w:t>
      </w:r>
    </w:p>
    <w:p>
      <w:r>
        <w:t>In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Der angefochtene Entscheid datiert vom 3. November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3.1</w:t>
      </w:r>
    </w:p>
    <w:p>
      <w:r>
        <w:t>Die vom Kanton bezeichnete Aufsichtsbehörde wacht darüber, dass die Vorsorgeeinrichtungen die gesetzlichen Vorschriften einhalten (Art. 62 Abs. 1 in Verbindung mit Art. 61 Abs. 1 BVG); sie prüft insbesondere die Übereinstimmung der reglementarischen Bestimmungen mit den gesetzlichen Vorschriften (Art. 62 Abs. 1 Bst. a BVG). Die Aufsichtsbehörde ist befugt, Massnahmen zur Behebung von Mängeln zu treffen (Art. 62 Abs. 1 Bst. d BVG). So kann sie gesetzwidrige Reglemente oder Teile davon aufheben und den Vorsorgeeinrichtungen verbindliche Weisungen über die Ausgestaltung entsprechender Bestimmungen erteilen (BGE 128 II 24 E. 1a; BGE 112 Ia 180 E. 3 S. 186 f.). Dabei handelt es sich um abstrakte Normenkontrolle, die Überprüfung der Gesetzmässigkeit erfolgt losgelöst von einem konkreten Streitfall (BGE 112 Ia 180, a.a.O.; Christina Ruggli, Die behördliche Aufsicht über Vorsorgeeinrichtungen, Basel 1992, S. 147).</w:t>
      </w:r>
    </w:p>
    <w:p>
      <w:r>
        <w:rPr>
          <w:b/>
        </w:rPr>
        <w:t>E. 3.2</w:t>
      </w:r>
    </w:p>
    <w:p>
      <w:r>
        <w:t>Im vorliegenden Fall hat die Vorinstanz im Zuge ihrer generell-abstrakten Prüfung des Vorsorgereglements der Beschwerdeführerin die Art. 1013 sowie Art. 710.2 Ziff. 4 für nicht rechtmässig befunden, diese mit der angefochtenen Verfügung aufgehoben und die Beschwerdeführerin angewiesen, eine bis 31. Dezember 2011 gültige Übergangsbestimmung anzuwenden. Zu prüfen ist, ob die beanstandeten Normen gesetzeswidrig sind und mithin ob die ergriffenen aufsichtsrechtlichen Massnahmen rechtens waren.</w:t>
      </w:r>
    </w:p>
    <w:p>
      <w:r>
        <w:rPr>
          <w:b/>
        </w:rPr>
        <w:t>E. 4.1</w:t>
      </w:r>
    </w:p>
    <w:p>
      <w:r>
        <w:t>Gemäss Art. 13 Abs. 1 BVG haben Anspruch auf Altersleistungen Männer (Bst. a), die das 65. Altersjahr und Frauen (Bst. b), die das 62. Altersjahr (heute 64. Altersjahr gemäss Art. 62a BVV 2) zurückgelegt haben. Gemäss Art. 13 Abs. 2 können die reglementarischen Bestimmungen der Vorsorgeeinrichtung abweichend davon vorsehen, dass der Anspruch auf Altersleistungen mit der Beendigung der Erwerbstätigkeit entsteht. In diesem Fall ist der Umwandlungssatz (Art. 14 BVG) entsprechend anzupassen. Damit wird der Vorsorgeeinrichtung ermöglicht, reglementarisch einen flexiblen Altersrücktritt vorzusehen, der nicht auf das Erreichen des ordentlichen gesetzlichen oder ordentlichen reglementarischen Rücktrittsalters fällt, sondern auf den Zeitpunkt der Beendigung der Erwerbstätigkeit, wobei die Untergrenze gemäss Art. 1i BVV 2 bei Alter 58 und die Obergrenze gemäss Art. 33b BVG bei Alter 70 liegt. Gemeint ist die Beendigung derjenigen Erwerbstätigkeit, welche dem Versicherungsverhältnis mit der Vorsorgeeinrichtung zu Grunde liegt. Nicht vorausgesetzt ist dagegen, dass die versicherte Person generell auf weitere Aktivitäten verzichtet (Thomas Flückiger, in Schneider/Geiser/Gächter [Hrsg.], Handkommentar zum BVG und FZG, Art. 13 BVG N 14 S. 28; Mitteilungen über die berufliche Vorsorge [Bundesamt für Sozialversicherungen, Hrsg.], Nr. 7 vom 5. Februar 1988 Rz 37).</w:t>
      </w:r>
    </w:p>
    <w:p>
      <w:r>
        <w:rPr>
          <w:b/>
        </w:rPr>
        <w:t>E. 4.2</w:t>
      </w:r>
    </w:p>
    <w:p>
      <w:r>
        <w:t>Gemäss Vorsorgereglement der Beschwerdeführerin endet mit dem Altersrücktritt des Versicherten das Arbeitsverhältnis zur A._______ (Art. 210 Ziff. 3). Hat der Versicherte das ordentliche Rücktrittsalter von 63 Jahren erreicht, hat er Anspruch auf eine lebenslängliche Altersrente (Art. 710.1 Ziff. 1); die Alterspension entspricht dem zu Beginn des Pensionsbezugs vorhandenen Altersguthabens multipliziert mit dem Umwandlungssatz gemäss Rücktrittsalter (Art. 710.1 Ziff. 2, Anhang A zum Reglement, Vorakten 15). Hat ein Versicherter das 58. Altersjahr erreicht, kann er die vorzeitige Pensionierung verlangen (Art. 710.2 Ziff. 1); die Alterspension entspricht dem zu Beginn des Pensionsbezugs vorhandenen Altersguthaben multipliziert mit dem Umwandlungssatz gemäss Rücktrittsalter (Art. 710.2 Ziff. 2). Die Auszahlung der Alters- oder befristeten Invaliditätsrenten beginnt im Anschluss an die letztmalige Lohnzahlung (Art. 1011 Ziff. 1). Alle diese Reglementsbestimmungen stimmen mit Art. 1 BVG, Art. 1i BVV 2 sowie Art. 13 BVG überein, was auch die Vorinstanz nicht bestreitet.</w:t>
      </w:r>
    </w:p>
    <w:p>
      <w:r>
        <w:rPr>
          <w:b/>
        </w:rPr>
        <w:t>E. 4.3</w:t>
      </w:r>
    </w:p>
    <w:p>
      <w:r>
        <w:t>Mit Art. 710.2 Ziff. 4 des Vorsorgereglements wird dem Versicherten, welcher sich für den Vorbezug der Alterspension entschieden hat, eine zusätzliche Option angeboten, wonach er die Auszahlung der Pension aufschieben kann, wobei die Bestimmungen über die aufgeschobene Auszahlung gemäss Art. 1013 des Vorsorgereglements sinngemäss anzuwenden sind.</w:t>
      </w:r>
    </w:p>
    <w:p>
      <w:r>
        <w:rPr>
          <w:b/>
        </w:rPr>
        <w:t>E. 5.1</w:t>
      </w:r>
    </w:p>
    <w:p>
      <w:r>
        <w:t>Wie die Vorinstanz erwähnt, ist der Aufschub der Altersrente in den Bestimmungen des BVG nicht explizit geregelt. Dieser wird nach konstanter Rechtsprechung und einhelliger Lehre aus Art. 13 Abs. 2 BVG abgeleitet. Danach erlaubt diese Bestimmung den Vorsorgeeinrichtungen in den Mindestvorschriften ausdrücklich, das Rentenalter in den Reglementen abweichend von der gesetzlichen Lösung festzulegen, sofern die Mindestansprüche der Versicherten gewahrt bleiben. Dies gilt sowohl für den Vorbezug wie auch für den Aufschub von Altersleistungen über das ordentliche Schlussalter im obligatorischen Bereich. Dabei ist es im Rahmen der weitergehenden Vorsorge angesichts des den Vorsorgeeinrichtungen im Bereich der Leistungen und Finanzierung nach Art. 49 BVG zukommenden Selbstständigkeitsbereichs auch zulässig, dass das ordentliche reglementarische Pensionsalter auf 64 Jahre angesetzt und zusätzlich die Möglichkeit des Rentenaufschubs vorgesehen wird, wenn die Erwerbstätigkeit über das im Reglement festgelegte Schlussalter hinaus weitergeführt wird. Entscheidend ist, dass der Versicherungsschutz während des Rentenaufschubs fortdauert (vgl. zum Ganzen Urteile des Bundesgerichts 9C_808/2009, 9C_836/2009 vom 4. Februar 2010, E. 4.2 unter besonderem Hinweis auf das Urteil 9C_770/2007 vom 14. März 2008, E. 3.4 mit Hinweisen auf Materialien und Lehre sowie mit weiteren Hinweisen auf die Rechtsprechung; ebenso Mitteilungen über die berufliche Vorsorge Nr. 7 a.a.O.; sowie Thomas Flückiger, a.a.O. Art 13 N. 15 S. 284).</w:t>
      </w:r>
    </w:p>
    <w:p>
      <w:r>
        <w:rPr>
          <w:b/>
        </w:rPr>
        <w:t>E. 5.2</w:t>
      </w:r>
    </w:p>
    <w:p>
      <w:r>
        <w:t>Der Aufschub von Altersleistungen wird vorliegend in Art. 1013 des Vorsorgereglements geregelt. Dabei entspricht die Höhe der aufgeschobenen Leistung dem zu Beginn der Pensionierung vorhandenen Altersguthaben, multipliziert mit dem Umwandlungssatz gemäss Rücktrittsalter im Anhang A (Vorakten 15). Der Umwandlungssatz erhöht sich mit jedem Aufschubjahr ab Alter 55 mit 5.35 % bis Alter 65 mit 6.70 %. Das Altersguthaben wird mit 3.5 % verzinst. Dies führt zu höheren Altersleistungen. Während der Aufschubdauer werden zudem allfällige Kinderpensionen ausbezahlt (Ziff. 5). Ebenso werden im Todesfall Hinterlassenenleistungen ausgerichtet, welche auf der Basis des Altersguthabens im Zeitpunkt des Todes nach abgelaufener Aufschubdauer bestimmt werden (Ziff. 6). Folglich dauert der Vorsorgeschutz des Versicherten während des Aufschubs der Alterspension fort und führt zu höheren Alters- und Hinterlassenenleistungen, was für den Aufschub entscheidend ist (Urteil BGer 9C_808/2009 a.a.O., E. 4.2). Dementsprechend entsteht der Anspruch auf Altersleistungen mit dem Ende der Aufschubdauer, und der Versicherte kann die Altersleistungen frühestens ab diesem Zeitpunkt fordern (Urteil BGer B 139/06 / B 143/06 vom 14. Dezember 2007, E. 4.2.2). Entgegen der Auffassung der Vorinstanz stellt der Rentenaufschub somit nicht ein blosses Hinausschieben einer fälligen Forderung und damit auch nicht eine vorsorgefremde Vermögensanlage dar (angefochtene Verfügung E. 4).</w:t>
      </w:r>
    </w:p>
    <w:p>
      <w:r>
        <w:rPr>
          <w:b/>
        </w:rPr>
        <w:t>E. 5.3</w:t>
      </w:r>
    </w:p>
    <w:p>
      <w:r>
        <w:t>Die Regelung gemäss Art. 1013 des Vorsorgereglements erweist sich demnach als rechtskonform und wurde von der Vorinstanz zu Unrecht "für sich allein" aufgehoben (vgl. Dispositivziffer I der angefochtenen Verfügung).</w:t>
      </w:r>
    </w:p>
    <w:p>
      <w:r>
        <w:rPr>
          <w:b/>
        </w:rPr>
        <w:t>E. 6.1</w:t>
      </w:r>
    </w:p>
    <w:p>
      <w:r>
        <w:t>In systematischer Hinsicht findet die Regelung gemäss Art. 1013 des Vorsorgereglements in zwei Konstellationen des Vorsorgefalles Alter Anwendung: So zunächst im Fall von Art. 710.3 bei Weiterbeschäftigung des Versicherten bei der A._______ über das ordentliche Rücktrittsalter von 63 Jahren hinaus bis längstens zum 65. Altersjahr, wo ausdrücklich auf Art. 1013 hingewiesen wird. Diese Regelung gibt zu Recht zu keiner Kritik Anlass, handelt es sich dabei um den erwähnten typischen Fall des Aufschubs der Altersleistungen über das ordentliche Rücktrittsalter hinaus, solange die Erwerbstätigkeit beim bisherigen Arbeitgeber fortdauert. Auch hinsichtlich dieser Konstellation hat die Vorinstanz daher die Bestimmung von Art. 1013 des Vorsorgereglements zu Unrecht aufgehoben.</w:t>
      </w:r>
    </w:p>
    <w:p>
      <w:r>
        <w:rPr>
          <w:b/>
        </w:rPr>
        <w:t>E. 6.2</w:t>
      </w:r>
    </w:p>
    <w:p>
      <w:r>
        <w:t>Die andere und vorliegend strittige Konstellation betrifft die vorzeitige Pensionierung gemäss Art. 710.2 Abs. 4 des Vorsorgereglements, wo ebenfalls ausdrücklich auf Art. 1013 hingewiesen wird. Inwieweit diese Konstellation nach der Vorinstanz zu Kritik Anlass geben soll, wird nachfolgend geprüft.</w:t>
      </w:r>
    </w:p>
    <w:p>
      <w:r>
        <w:rPr>
          <w:b/>
        </w:rPr>
        <w:t>E. 6.3</w:t>
      </w:r>
    </w:p>
    <w:p>
      <w:r>
        <w:t>Anders als beim Rentenaufschub über das ordentliche Rücktrittsalter hinaus (Art. 710.3 Vorsorgereglement) wird bei der vorzeitigen Pensionierung die Erwerbstätigkeit bei der A._______ zwingend beendet (vgl. vorne E. 4.2 e contrario). Dabei bleibt es dem Versicherten, wie die Beschwerdeführerin erwähnt, freigestellt, ob er die Erwerbstätigkeit bei einem anderen Arbeitgeber oder als selbständig Erwerbender fortsetzen will. Auch ist eine Teilpensionierung ab dem 58. Altersjahr möglich, sofern der Beschäftigungsgrad (bei der A._______) um mindestens 20 % reduziert wird (Art. 710.2 Ziff. 1 Vorsorgereglement). Die Vorinstanz erachtet demgegenüber die Weiterführung der Erwerbstätigkeit beim bisherigen Arbeitgeber als zwingende Voraussetzung für den Aufschub des Rentenbezugs, zumal die berufliche Vorsorge an eine Erwerbstätigkeit gekoppelt sei und sich aus Art. 13 Abs. 2 BVG sowie den Grundsätzen der beruflichen Vorsorge (Art. 1 BVG) ergebe.</w:t>
      </w:r>
    </w:p>
    <w:p>
      <w:r>
        <w:rPr>
          <w:b/>
        </w:rPr>
        <w:t>E. 6.4</w:t>
      </w:r>
    </w:p>
    <w:p>
      <w:r>
        <w:t>Gemäss Art. 49 BVG, in der im Verfügungszeitpunkt geltenden Fassung, sind die Vorsorgeeinrichtungen im Rahmen dieses Gesetzes in der Gestaltung ihrer Leistungen, deren Finanzierung und in ihrer Organisation frei. Sie können im Reglement vorsehen, dass Leistungen, die über die gesetzlichen Mindestbestimmungen hinausgehen, nur bis zum Erreichen des Rentenalters ausgerichtet werden (Abs. 1). Gewährt die Vorsorgeeinrichtung mehr als die Mindestleistungen, so gelten für die weiter gehende Vorsorge die im Katalog gemäss Ziff. 1 bis 26 aufgeführten BVG-Vorschriften (Abs. 2). Art. 13 Abs. 2 BVG wird in diesem Katalog nicht aufgeführt und ist somit auf den Aufschub der Alterspension im Rahmen der weiter gehenden Vorsorge nicht zwingend anwendbar, was die Vorinstanz in ihrer Argumentation nicht beachtet hat (vgl. angefochtene Verfügung E. 5 und 6, Vernehmlassung Ziff. 6). Der im vorliegenden Reglement geregelte Vorsorgeplan der Beschwerdeführerin gewährt Leistungen, welche über die Mindestleistungen hinausgehen, was von keiner Seite bestritten wird und wovon auszugehen ist. Aus eben diesem Blickwinkel sowie angesichts des Selbständigkeitsbereichs nach Art. 49 Abs. 1 BVG spricht daher, wie von der Beschwerdeführerin richtig darlegt, nichts dagegen, dem Versicherten die in Art. 1013 des Vorsorgereglements vorgesehene Option des Aufschubs der Auszahlung der Alterspension auch bei Aufgabe der Erwerbstätigkeit und vor Erreichen des ordentlichen Rücktrittsalters zu gewähren, zumal in beiden Konstellationen nach dem Vorsorgeplan die gesetzlichen Mindestleistungen unbestrittenermassen eingehalten werden (vgl. Art. 111 Ziff. 3 Vorsorgereglement). Eine mit der vorliegenden vergleichbaren Konstellation lag im Übrigen auch dem genannten Urteil BGer B 139/06 / B 143/06 (vgl. E. 3.2 sowie E. 4.2.2) zugrunde, wo das Reglement dem Versicherten im Falle einer vorzeitigen Pensionierung (ab dem Alter von 60 Jahren) die Möglichkeit gewährte, entweder die Altersleistungen sofort zu beziehen oder deren Bezug aufzuschieben (bis zum Alter von 65 Jahren), was zu keiner Kritik Anlass gab. In diesem Zusammenhang wurden auch die Rechtsverhältnisse während des Aufschubs dargelegt, auf welche nachfolgend eingegangen wird (vgl. E. 6.5.1).</w:t>
      </w:r>
    </w:p>
    <w:p>
      <w:r>
        <w:rPr>
          <w:b/>
        </w:rPr>
        <w:t>E. 6.5</w:t>
      </w:r>
    </w:p>
    <w:p>
      <w:r>
        <w:t>Zu prüfen bleibt nachfolgend, ob die bestrittene reglementarische Regelung in Einklang mit den Definitionen und Grundsätzen der beruflichen Vorsorge gemäss Art. 1 BVG sowie mit den Massnahmen zur Erleichterung der Arbeitsmarktbeteiligung älterer Arbeitnehmer gemäss Art. 33a und 33b BVG steht, welche auch auf die weitergehende Vorsorge anwendbar sind (Art. 49 Abs. 2 Ziff. 1 BVG), was von der Vorinstanz verneint wird (vgl. vorne E. 6.3 in fine).</w:t>
      </w:r>
    </w:p>
    <w:p>
      <w:r>
        <w:rPr>
          <w:b/>
        </w:rPr>
        <w:t>E. 6.5.1</w:t>
      </w:r>
    </w:p>
    <w:p>
      <w:r>
        <w:t>Was die Definitionen und Grundsätze der beruflichen Vorsorge anbelangt, beanstandet die Vorinstanz den vorliegenden reglementarischen Aufschub der Alterspension vor dem Erreichen des Rücktrittsalters insoweit, als er ohne Weiterbeschäftigung bei der A._______ erfolgt. Ihrer Ansicht nach bildet die Ausübung einer Erwerbstätigkeit die Grundlage für die berufliche Vorsorge und damit auch die Voraussetzung zum Rentenaufschub, zumal das Vorsorgeverhältnis weiter bestehe und die betroffene Person noch als aktiver Versicherter und nicht bereits als Rentner gelte (vgl. Vernehmlassung E. 6 und 7 sowie Duplik E. 5). Dem kann nicht gefolgt werden. Wie die Beschwerdeführerin richtig darlegt, tritt der Vorsorgefall "Alter" gemäss Reglement im Zeitpunkt ein, in dem der Versicherte das ordentliche Rücktrittsalter erreicht (Art. 710.1 Ziff. 1) oder in dem er sich für den vorzeitigen Altersleistungsbezug entscheidet (Art. 710.2 Ziff. 1; vgl. hierzu Urteil BGer 9C_629/2011 vom 4. Mai 2012, E. 5.2.1). In beiden Zeitpunkten entsteht der Anspruch auf Altersleistungen (Urteil BGer B 139/06 / B 143/06, a.a.O., E. 4.2.2). Wie bereits dargelegt (vorne E. 5.2) bewirkt der Aufschub der Alterspension die Weiterführung des Versicherungsschutzes und damit den Aufschub des Anspruchs auf Altersleistungen. Diesen kann der Versicherte jederzeit durch Willenserklärung beenden und die Auszahlung seiner Alterspension verlangen (Art. 1013 Ziff. 4 Vorsorgereglement). Der Aufschub der Alterspension ist somit integrierender Bestandteil des vorliegenden Vorsorgeplanes für den Eintritt des Vorsorgefalles "Alter" und nicht ein separater Plan, wovon die Vorinstanz auszugehen scheint. Nachdem für diesen Vorsorgeschutz gemäss Reglement kein beitragspflichtiger Lohn erforderlich ist, besteht, entgegen der Auffassung der Vorinstanz, auch keine Notwendigkeit des Bestehens eines entsprechenden Arbeitsverhältnisses. Insgesamt lässt sich somit die vorliegend bestrittene reglementarische Regelung im Lichte der in Art. 1 BVG verankerten Grundsätze nicht beanstanden.</w:t>
      </w:r>
    </w:p>
    <w:p>
      <w:r>
        <w:rPr>
          <w:b/>
        </w:rPr>
        <w:t>E. 6.5.2</w:t>
      </w:r>
    </w:p>
    <w:p>
      <w:r>
        <w:t>Zur Kritik der Vorinstanz, die vorliegende Regelung würde nicht mit Art 33a und 33b BVG (Massnahmen zur Erleichterung der Arbeitsmarktbeteiligung älterer Arbeitnehmer) übereinstimmen, bleibt zu bemerken, dass diese Bestimmungen erst am 1. Januar 2011 und damit nach dem Verfügungszeitpunkt und auch nach dem Erlass des Reglements in Kraft getreten sind und damit (noch) nicht anwendbar waren. Die Frage der Übereinstimmung ist daher vorliegend nicht zu prüfen.</w:t>
      </w:r>
    </w:p>
    <w:p>
      <w:r>
        <w:rPr>
          <w:b/>
        </w:rPr>
        <w:t>E. 6.6</w:t>
      </w:r>
    </w:p>
    <w:p>
      <w:r>
        <w:t>Die Vorinstanz moniert schliesslich eine fehlende Übereinstimmung der vorliegenden reglementarischen Regelung mit Art. 84 BVG. Danach sind die Ansprüche aus Vorsorgeeinrichtungen und Vorsorgeformen nach den Artikeln 80 und 82 BVG vor ihrer Fälligkeit von den direkten Steuern des Bundes, der Kantone und der Gemeinden befreit. Nach Ansicht der Vorinstanz treten die Fälligkeit der Alterspension und damit die steuerlichen Folgen mit der Beendigung des Arbeitsverhältnisses bei der A._______ ein, wogegen die vorliegende reglementarische Reglung einen unzulässigen Aufschub der Fälligkeit bewirke. Auch diese Kritik ist unbegründet. Wie dargelegt (vorne E. 5.2), wird der Anspruch auf die Alterspension während der Aufschubdauer noch nicht fällig. Das Bundesgericht hat denn auch im Urteil 2P.389/1998 vom 3. März 2000 erkannt, dass Art. 84 BVG nicht ausschliesse, dass Vorsorgeleistungen (erst) im Zeitpunkt ihrer Auszahlung besteuert werden. Die fragliche Bestimmung verbiete lediglich, Steuern auf Vorsorgeleistungen zu erheben, bevor diese fällig sind; aus ihr lasse sich nicht ableiten, dass die Steuern tatsächlich im Zeitpunkt der Fälligkeit geschuldet sind (E. 3. a). Die vorliegende Reglementsbestimmung lässt sich daher auch mit Blick auf Art. 84 BVG nicht beanstanden.</w:t>
      </w:r>
    </w:p>
    <w:p>
      <w:r>
        <w:rPr>
          <w:b/>
        </w:rPr>
        <w:t>E. 6.7</w:t>
      </w:r>
    </w:p>
    <w:p>
      <w:r>
        <w:t>Nach dem Gesagten erweist sich auch die Regelung gemäss Art. 710.2 Ziff. 4 des Vorsorgereglements als rechtmässig und wurde daher von der Vorinstanz zu Unrecht aufgehoben. Damit erweisen sich die von der Vorinstanz beanstandeten Reglementsbestimmungen als rechtmässig und hätten von der Vorinstanz nicht aufgehoben werden dürfen. Die Aufforderung der Vorinstanz, ein gesetzeskonformes Reglement mit Übergangsbestimmungen zu erlassen, erübrigt sich demnach. Diese Erwägungen führen insgesamt zur Aufhebung der angefochtenen Verfügung und damit zur Gutheissung der Beschwerde.</w:t>
      </w:r>
    </w:p>
    <w:p>
      <w:r>
        <w:rPr>
          <w:b/>
        </w:rPr>
        <w:t>E. 7.1</w:t>
      </w:r>
    </w:p>
    <w:p>
      <w:r>
        <w:t>Gemäss Art. 63 Abs. 1 VwVG werden die Verfahrenskosten in der Regel der unterliegenden Partei auferlegt, wobei die Vorinstanz gemäss Art. 63 Abs. 2 VwVG keine Verfahrenskosten zu tragen hat. Der obsiegenden Beschwerdeführerin ist demgegenüber der von ihr einbezahlte Kostenvorschuss im Betrag von Fr. 3'500.- zurückzuerstatten.</w:t>
      </w:r>
    </w:p>
    <w:p>
      <w:r>
        <w:rPr>
          <w:b/>
        </w:rPr>
        <w:t>E. 7.2</w:t>
      </w:r>
    </w:p>
    <w:p>
      <w:r>
        <w:t>Die anwaltlich vertretene obsiegende Beschwerdeführerin hat laut Art. 64 Abs. 1 VwVG in Verbindung mit Art. 7 VGKE Anspruch auf eine Parteientschädigung. Wird keine Kostennote eingereicht, setzt das Gericht die Entschädigung auf Grund der Akten fest (Art. 14 Abs. 2 VGKE). Vorliegend erweist sich eine Parteientschädigung unter Berücksichtigung des aktenkundigen notwendigen Aufwandes sowie der Verwendung der Arbeiten im Vorverfahren von Fr. 5'000.- inkl. Mehrwertsteuer (MWSt) zu Lasten der Vorinstanz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