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C-8375/2010 vom 10. Mai 2012</w:t>
      </w:r>
    </w:p>
    <w:p>
      <w:r>
        <w:t>Bundesverwaltungsgericht, 2012-05-10, DE</w:t>
      </w:r>
    </w:p>
    <w:p>
      <w:r>
        <w:rPr>
          <w:b/>
        </w:rPr>
        <w:t xml:space="preserve">Quelle: </w:t>
      </w:r>
      <w:r>
        <w:t>https://mcp.opencaselaw.ch/entscheid/bvger_C-8375_2010</w:t>
      </w:r>
    </w:p>
    <w:p>
      <w:r>
        <w:t>FR: TAF C-8375/2010 du 10 mai 2012</w:t>
      </w:r>
    </w:p>
    <w:p>
      <w:r>
        <w:t>IT: TAF C-8375/2010 del 10 maggio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ivorischen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ivorische Staatsangehörige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Grosse Teile der Bevölkerung in der Côte d'Ivoire sind seit längerem nicht nur mit wirtschaftlich und sozial schwierigen Lebensbedingungen, sondern auch mit sicherheitspolizeilich stellenweise prekären Verhältnissen konfrontiert. Die Ereignisse bei dem zweiten Präsidentschaftswahlgang Ende November 2010 führten im Nachgang zu schwersten Menschenrechtsverletzungen, und ab Februar 2011 kam das wirtschaftliche und soziale Leben nach dem Zusammenbruch des Bankenwesens zum Erliegen. Das Land geriet an den Rand einer humanitären Katastrophe und eines (erneuten) Bürgerkriegs. Obwohl sich die innenpolitische Lage inzwischen beruhigt, und sich das Wirtschaftsleben und die Versorgungslage der Bevölkerung in kurzer Zeit normalisiert hat, sind die Auswirkungen der Krisen auf die Bevölkerung nicht zu übersehen. Auf dem Index der menschlichen Entwicklung nach Nationen aus dem Jahr 2011 steht Côte d'Ivoire nur gerade auf Platz 170 von 187 Nationen (Quellen: www.auswaertiges-amt.de &gt; Aussen und Europapolitik &gt; Länderinformationen &gt; Côte d'Ivoire &gt; Innenpolitik, Stand: Oktober 2011; www.undp.org Research &amp; Publications Human Development Reports Human Development Index [HDI] 2011 Report Table 1 - Human Development Index and its components; beide Seiten besucht im April 2012). Entsprechend hoch ist der Anteil der Personen, die versuchen, ins Ausland (beispielsweise nach Westeuropa und damit auch in die Schweiz) zu gelangen, um sich unter günstigeren Bedingungen eine (neue) Existenz aufzubauen. 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58-jährige, verheiratete Frau. Nebst ihrem Ehemann sollen gemäss Beschwerde noch weitere Familienangehörige vor Ort leben. Als verheiratete Frau dürfte sie zwar durchaus gewisse familiäre Verpflichtungen ihrem Ehemann gegenüber haben. Das Zurücklassen einzelner Familienmitglieder bildet für sich allein aber noch keine Garantie für eine anstandslose und fristgerechte Wiederausreise nach einem Besuchsaufenthalt. Die Erfahrung zeigt, dass es in aller Regel vielmehr die individuell herrschenden wirtschaftlich-sozialen und sicherheitspolitischen Verhältnisse sind, die letztlich über Rückkehr oder Verbleib entscheiden. Dass eine Familie vorübergehend getrennt wird, wird je nach Interessenlage in Kauf genommen. Vorliegend kommt hinzu, dass in der Schweiz ein Sohn der Gesuchstellerin lebt. Demnach verfügt diese hier bereits über eine enge Bezugsperson, die den Weg der Emigration vorausgegangen ist. Entsprechend kann nicht ausgeschlossen werden, dass die Gesuchstellerin - einmal in der Schweiz - versucht sein könnte, länger als vorgegeben hier zu bleiben.</w:t>
      </w:r>
    </w:p>
    <w:p>
      <w:r>
        <w:rPr>
          <w:b/>
        </w:rPr>
        <w:t>E. 6.2</w:t>
      </w:r>
    </w:p>
    <w:p>
      <w:r>
        <w:t>Die Gesuchstellerin geht keiner Erwerbstätigkeit nach und es ist nicht bekannt, in welchen wirtschaftlichen Verhältnissen sie und ihr Ehemann vor Ort leben. Entsprechend kann auch in wirtschaftlicher Hinsicht nicht von Verhältnissen ausgegangen werden, die verlässlich von einer Emigration abhalten könnten.</w:t>
      </w:r>
    </w:p>
    <w:p>
      <w:r>
        <w:rPr>
          <w:b/>
        </w:rPr>
        <w:t>E. 6.3</w:t>
      </w:r>
    </w:p>
    <w:p>
      <w:r>
        <w:t>Vor dem allgemeinen und persönlichen Hintergrund konnte die Vorinstanz demnach davon ausgehen, dass keine hinreichende Gewähr für die fristgerechte und anstandslose Wiederausreise der Gesuchstellerin nach einem Besuchsaufenthalt besteht. An dieser Einschätzung vermögen die gegenteiligen Zusicherungen des Beschwerdeführers im Gesuchsverfahren nichts zu ändern. Als Gastgeber kann er mit rechtlich verbindlicher Wirkung zwar für gewisse finanzielle Risiken im Zusammenhang mit dem Besuchsaufenthalt, nicht aber für ein bestimmtes Tun oder Unterlassen seines Gastes einstehen (vgl. in diesem Zusammenhang BVGE 2009/27 E. 9). Ebenfalls nichts zu ändern an der Risikoeinschätzung vermag die Bereitschaft des Beschwerdeführers, eine Kaution zu hinterlegen. Eine solche Sicherheitsleistung (über die Garantie für ungedeckte Kosten hinaus) war im erstinstanzlichen Verfahren kein Thema. Kommt hinzu, dass auch diese Sicherheit einseitig den Gastgeber verpflichten würde und sie sich nach dem Gesagten kaum als taugliches Mittel erweisen könnte, wenn es darum geht, das Verhalten des Gastes selbst zu beeinflussen.</w:t>
      </w:r>
    </w:p>
    <w:p>
      <w:r>
        <w:rPr>
          <w:b/>
        </w:rPr>
        <w:t>E. 6.4</w:t>
      </w:r>
    </w:p>
    <w:p>
      <w:r>
        <w:t>Gründe für die Ausstellung eines Visums mit räumlich beschränkter Gültigkeit (vgl. E. 4.5) wurden vom Beschwerdeführer nicht geltend gemacht und sind auch nicht ersichtlich. Zwar behauptet der Beschwerdeführer, seine Mutter seit Jahren nicht mehr gesehen zu haben. Über die Gründe schweigt er sich aber aus und macht beispielsweise nicht geltend, dass eine Realisierung familiärer Kontakte ausserhalb der Schweiz nicht möglich wäre.</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