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C-834/2006 vom 11. Dezember 2007</w:t>
      </w:r>
    </w:p>
    <w:p>
      <w:r>
        <w:t>Bundesverwaltungsgericht, 2007-12-11, DE</w:t>
      </w:r>
    </w:p>
    <w:p>
      <w:r>
        <w:rPr>
          <w:b/>
        </w:rPr>
        <w:t xml:space="preserve">Quelle: </w:t>
      </w:r>
      <w:r>
        <w:t>https://mcp.opencaselaw.ch/entscheid/bvger_C-834_2006</w:t>
      </w:r>
    </w:p>
    <w:p>
      <w:r>
        <w:t>FR: TAF C-834/2006 du 11 décembre 2007</w:t>
      </w:r>
    </w:p>
    <w:p>
      <w:r>
        <w:t>IT: TAF C-834/2006 del 11 dicembre 2007</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Das Urteil ist endgültig (Art. 1 Abs. 2 VGG i.V.m. Art. 83 Bst. c Ziff. 1 des Bundesgerichtsgesetzes vom 17. Juni 2005 [BGG, SR 173.110]).</w:t>
      </w:r>
    </w:p>
    <w:p>
      <w:r>
        <w:rPr>
          <w:b/>
        </w:rPr>
        <w:t>E. 1.4</w:t>
      </w:r>
    </w:p>
    <w:p>
      <w:r>
        <w:t>Der Beschwerdeführer ist als "Mitbeteiligter" (Neffe und zugleich Gastgeber) gemäss Art. 20 Abs. 2 ANAG zur Beschwerdeführung legitimiert; auf die frist- und formgerecht eingereichte Beschwerde ist daher einzutreten (Art. 48 ff. VwVG).</w:t>
      </w:r>
    </w:p>
    <w:p>
      <w:r>
        <w:rPr>
          <w:b/>
        </w:rPr>
        <w:t>E. 2</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w:t>
      </w:r>
    </w:p>
    <w:p>
      <w:r>
        <w:rPr>
          <w:b/>
        </w:rPr>
        <w:t>E. 3</w:t>
      </w:r>
    </w:p>
    <w:p>
      <w:r>
        <w:t>Ausländerinnen und Ausländer benötigen zur Einreise in die Schweiz neben einem Pass ein Visum, sofern sie nicht aufgrund besonderer Regelung von diesem Erfordernis ausgenommen sind (vgl. Art. 1, Art. 3 und Art. 4 der Verordnung vom 14. Januar 1998 über Einreise und Anmeldung von Ausländerinnen und Ausländern [VEA, SR 142.211]). Die Gesuchstellerin kann sich auf keine Ausnahmeregelung berufen; sie ist aufgrund ihrer Staatsangehörigkeit visumpflichtig. Das Visum wird verweigert, wenn die Ausländerin oder der Ausländer die Einreisevoraussetzungen nach Art. 1 VEA nicht erfüllt (vgl. Art. 14 Abs. 1 VEA).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4.2</w:t>
      </w:r>
    </w:p>
    <w:p>
      <w:r>
        <w:t>Serbien gehört aufgrund der dort herrschenden politischen und wirtschaftlichen Verhältnisse zu denjenigen Ländern, deren Staats-gehörige öfters versuchen, mit Hilfe eines Visums in die Schweiz zu gelangen, um anschliessend hier zu bleiben. Vor allem für Personen, die wie die Gesuchstellerin aus der Provinz Kosovo stammen, ist die Verlockung gross, sich in einem anderen Land ein neues Leben zu ermöglichen, da sich in der alten Heimat weder ein wirtschaftlicher noch ein sozialer Aufschwung abzeichnet. Die Arbeitslosenquote im Kosovo liegt über 40 Prozent; fast gleich gross - laut Zahlen der Weltbank für das Jahr 2006 - ist der Anteil der Bevölkerung, der unter der Armutsgrenze lebt (vgl. Country Brief 2006, auf der Website der Weltbank &gt; Countries &gt; Kosovo &gt; Overview &gt; Economy, &lt;http://www.worldbank.org&gt;, besucht am 30. November 2007). Der geschilderte Migrationsdruck zeigt sich erfahrungsgemäss besonders stark bei Personen, die im Heimatland ungebunden sind. Besteht im Ausland bereits ein soziales Beziehungsnetz von Verwandten oder Freunden, so begünstigt dies die Tendenz, sich dort unter besseren Lebensbedingungen eine (neue) Existenz aufzubauen. Vor diesem Hintergrund ist es nahe liegend, dass Familienangehörige oftmals versuchen, auch ihre Eltern, für die sie sich verantwortlich fühlen, in die Schweiz nachzuziehen. Dies insbesondere dann, wenn die Eltern - altersbedingt ohne berufliche Verpflichtungen - alleine im Heimatstaat zurückbleiben und/oder aus gesundheitlichen Gründen nicht mehr für sich selbst sorgen können.</w:t>
      </w:r>
    </w:p>
    <w:p>
      <w:r>
        <w:rPr>
          <w:b/>
        </w:rPr>
        <w:t>E. 4.3</w:t>
      </w:r>
    </w:p>
    <w:p>
      <w:r>
        <w:t>Bei der Risikoanalyse sind aber nicht nur solch allgemeine Umstände und Erfahrungen, sondern auch, wie unter Ziffer 3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4.4</w:t>
      </w:r>
    </w:p>
    <w:p>
      <w:r>
        <w:t>Bei der Eingeladenen handelt es sich um eine nunmehr 73-jährige, verwitwete Frau, welche alleine im Kosovo leben und dort völlig auf sich allein gestellt sein soll (vgl. die entsprechenden Angaben der Beteiligten im Familiennachzugsverfahren). Ihr obliegen somit im Heimatland keine besonderen gesellschaftlichen Verpflichtungen oder familiären Verantwortlichkeiten, die sie ernsthaft von einer Emigration abzuhalten vermöchten; dies umso weniger, als ihre drei Töchter allesamt in der Bundesrepublik Deutschland leben und ihr (einziger) Sohn, K._______, zusammen mit seiner Familie über einen Daueraufenthalt in der Schweiz verfügt. Dieser enge Bezug zu den Familienangehörigen in der Schweiz zeigt sich insbesondere in der Tatsache, dass K._______ bereits im Jahre 2000 - noch während des kriegsbedingten Aufenthaltes seiner Mutter in der Schweiz - versucht hatte, dieser einen dauerhaften Aufenthalt in der Schweiz zu ermöglichen. Nachdem dem entsprechenden Gesuch um Erteilung einer Aufenthaltsbewilligung im Rahmen der Familienzusammenführung vom Ausländeramt des Kantons St. Gallen nicht stattgegeben worden war, wies das Justiz- und Polizeidepartement des Kantons St. Gallen den dagegen erhobenen Rekurs am 17. Juli 2001 ab. Gegen diesen Entscheid wurde wiederum Beschwerde erhoben, welche vom kantonalen Verwaltungsgericht am 13. Dezember 2001 letztinstanzlich abgewiesen wurde. Mit Verfügung vom 22. Januar 2002 dehnte das damalige Bundesamt für Ausländerfragen (heute: Bundesamt für Migration) die kantonale Wegweisung auf das ganze Gebiet der Schweiz aus, verbunden mit der Aufforderung, das Land bis zum 28. Februar 2002 zu verlassen. Bevor die Gesuchstellerin die Schweiz am 15. April 2002 endgültig verliess, war auch gegen die Ausdehnungsverfügung des Bundesamtes - erfolglos - ein Rechtsmittel ergriffen worden. Nicht zuletzt aufgrund dieser Vorkommnisse, jedoch auch in Berücksichtigung der wirtschaftlichen und politischen Lage im Kosovo sowie in Anbetracht der persönlichen Situation der Gesuchstellerin, wies die Vorinstanz die in der Folge gestellten Einreisegesuche am 1. April 2003 (Verfügung bestätigt durch Entscheid des EJPD vom 7. April 2004), 18. Juni 2004 sowie 6. Februar 2006 stets mit der Begründung ab, die fristgerechte und anstandslose Rückkehr ins Heimatland könne keineswegs als einwandfrei gesichert betrachtet werden. An dieser Einschätzung ist auch heute festzuhalten, ergeben sich doch aus den Akten keine Hinweise, in den persönlichen Verhältnissen der Eingeladenen hätten sich seither wesentliche Veränderungen im Sinne einer neuen Verwurzelung im Heimatland ergeben. Wenig überzeugend erweist sich in diesem Zusammenhang die Behauptung des Beschwerdeführers, seine Tante lebe glücklich im Kosovo, nachdem im Familiennachzugsverfahren noch geltend gemacht wurde, die Gesuchstellerin sei dort auf sich allein gestellt und leide unter gesundheitlichen Problemen. Gerade eine solche Konstellation birgt ein erhöhtes Risiko in sich, die Eingeladene könnte nach einem mehrwöchigen Aufenthalt in der Schweiz geneigt sein, den Lebensabend im Umfeld ihres in der Schweiz lebenden (einzigen) Sohnes und dessen Familie zu verbringen. Angesichts dieser Sachlage (Alter, Zivilstand, fehlende Verwurzelung in der Heimat, sämtliche Kinder im Ausland wohnhaft) bestehen eindeutig Festsetzungstendenzen und demzufolge begründete Zweifel am angegebenen Aufenthaltszweck (Besuchsaufenthalt; vgl. Art. 11 Abs. 1 Bst. b i.V.m. Art. 14 Abs. 2 Bst. c in fine VEA). Demgegenüber erweist sich der Einwand des Beschwerdeführers, wonach einzig aufgrund schlechter juristischer Beratung in der Vergangenheit ein Familiennachzugsgesuch gestellt worden sei, als reine Schutzbehauptung. Für sich spricht auch die Tatsache, dass um den Besuch beim Neffen nachgesucht worden ist, halten sich doch Sohn und Schwiegertochter in der Schweiz auf.</w:t>
      </w:r>
    </w:p>
    <w:p>
      <w:r>
        <w:rPr>
          <w:b/>
        </w:rPr>
        <w:t>E. 4.5</w:t>
      </w:r>
    </w:p>
    <w:p>
      <w:r>
        <w:t>Nach dem Gesagten durfte die Vorinstanz daher zu Recht davon ausgehen, die Wiederausreise der Eingeladenen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der Beschwerdeführer für die rechtzeitige Rückreise seiner Tante garantieren würde; denn eine solche Garantie ist trotz bester und ehrlicher Absichten nicht möglich bzw. rechtlich nicht durchsetzbar (vgl. Verwaltungspraxis der Bundesbehörden [VPB] 57.24; Urteil des Bundesverwaltungsgerichts C-2341/2006 vom 7. August 2007 E. 6). Sowohl dem Gastgeber wie auch dem Sohn der Eingeladenen und dessen Familie steht weiterhin die Möglichkeit offen, die Gesuchstellerin im Kosovo zu besuchen. Aus den Akten ergeben sich jedenfalls keine Hinweise, wonach ihnen dies in Zukunft aus rechtserheblichen Gründen verwehrt sein sollte. Den Beteiligten ist somit zuzumuten, ihre Beziehung anderweitig zu pflegen.</w:t>
      </w:r>
    </w:p>
    <w:p>
      <w:r>
        <w:rPr>
          <w:b/>
        </w:rPr>
        <w:t>E. 5</w:t>
      </w:r>
    </w:p>
    <w:p>
      <w:r>
        <w:t>Aus diesen Gründen ist somit nicht zu beanstanden, dass die Vorinstanz das öffentliche Interesse sowie die Beachtung der geltenden Bestimmungen entsprechend gewichtete und der Gesuchstellerin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6</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