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C-8342/2010 vom 16. April 2012</w:t>
      </w:r>
    </w:p>
    <w:p>
      <w:r>
        <w:t>Bundesverwaltungsgericht, 2012-04-16, FR</w:t>
      </w:r>
    </w:p>
    <w:p>
      <w:r>
        <w:rPr>
          <w:b/>
        </w:rPr>
        <w:t xml:space="preserve">Quelle: </w:t>
      </w:r>
      <w:r>
        <w:t>https://mcp.opencaselaw.ch/entscheid/bvger_C-8342_2010</w:t>
      </w:r>
    </w:p>
    <w:p>
      <w:r>
        <w:t>FR: TAF C-8342/2010 du 16 avril 2012</w:t>
      </w:r>
    </w:p>
    <w:p>
      <w:r>
        <w:t>IT: TAF C-8342/2010 del 16 aprile 2012</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(cf. art. 33 let. d LTAF) sont susceptibles de recours au Tribunal.</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 3.1. L'interdiction d'entrée, qui permet d'empêcher l'entrée ou le retour en Suisse d'un étranger dont le séjour y est indésirable, est réglée à l'art. 67 LEtr. Une nouvelle teneur de l'art. 67 LEtr, résultant de l'Arrêté fédéral portant approbation et mise en oeuvre de l'échange de notes entre la Suisse et la Communauté européenne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Les cas dans lesquels l'ODM dispose, comme auparavant, d'une marge d'appréciation pour prononcer une interdiction d'entrée figurent désormais à l'art. 67 al. 2 LEtr et correspondent à l'ancien art. 67 al. 1 LEtr (RO 2007 5437;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spécialement 8057). Certes, le texte français du nouvel art. 67 al. 2 let. a LEtr ne reprend pas les termes "de manière grave ou répétée" contenus dans l'ancien art. 67 al. 1 let. a LEtr. Il convient toutefois de relever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En l'occurrence, la décision querellée est fondée sur l'ancien art. 67 al. 1 let. a LEtr, qui correspond à l'alinéa 2 let. a du nouvel art. 67 LEtr. Par ailleurs, la durée de la mesure prononcée le 9 novembre 2010 est de cinq ans (cf. art. 67 al. 3 LEtr première phrase), de sorte que rien ne s'oppose à l'application du nouveau droit au cas d'espèce. 3.2. Selon l'art. 67 al. 2 LEtr, l'ODM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3.3.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Cela signifie qu'il faut pouvoir établir un pronostic défavorable à ce sujet. Un tel pronostic ne devrait en principe pas être possible lorsque les motifs qui ont conduit l'intéressé à mal agir ont disparu (cf. Marc Spescha/ Hanspeter Thür/ Andreas Zünd/ Peter Bolzli, Migrationsrecht, Zurich 2009, ad. art. 67 LEtr, ch. 2). 3.4. Selon le Message précité (cf. p. 3568), l'interdiction d'entrée permet d'empêcher l'entrée ou le retour en Suisse d'un étranger dont le séjour en Suisse est indésirable. Elle n'est pas considérée comme une peine sanctionnant un comportement déterminé, mais une mesure ayant pour but de prévenir une atteinte à la sécurité et à l'ordre publics. 3.5. L'autorité compétente examine selon sa libre appréciation si une interdiction d'entrée doit être prononcée en application de l'art. 67 al. 2 LEtr. Elle doit donc procéder à une pondération méticuleuse de l'ensemble des intérêts en présence et respecter le principe de la proportionnalité (cf. Andreas Zünd/ Ladina Arquint Hill, Beendigung der Anwesenheit, Entfernung und Fernhaltung, in Uebersax/ Rudin/ Hugi Yar/ Geiser [éd.], Ausländerrecht, 2ème éd., Bâle 2009, ch. 8.80 p. 356). 4.1. En l'occurrence, le recourant a été condamné, le 17 février 2010, à une peine privative de liberté de 30 mois ferme, sous déduction de 344 jours de détention préventive, et à une amende de Fr. 120.- pour vol en bande et par métier, dommages à la propriété, vol d'usage, usages abusifs de plaques de contrôle et violation des règles de la circulation routière. Au vu de cette condamnation pénale, l'intéressé a manifestement mis en danger et porté atteinte à l'ordre et à la sécurité publics. 4.2. Au regard du droit interne, la décision d'interdiction d'entrée dont est recours s'avère donc parfaitement justifiée dans son principe pour des raisons préventives d'ordre et de sécurité publics. 5.1. Dans la mesure où A._______ a la nationalité française et, partant, est citoyen de l'un des Etats membres de la CE, il importe de vérifier également si la mesure d'éloignement prononcée contre lui le 9 novembre 2010 est conforme à l'ALCP. En vertu de l'art. 2 al. 2 LEtr, cette dernière loi et, donc, l'art. 67 al. 2 LEtr sur lequel il y a lieu de baser la décision querellée, n'est en effet applicable aux ressortissants des Etats membres de la CE que si l'ALCP n'en dispose pas autrement. Il en résulte que la décision entreprise ne peut se fonder que sur des motifs d'ordre public, de sécurité publique et de santé publique au sens de l'art. 5 al. 1 annexe I ALCP. Ces notions doivent être définies et interprétées à la lumière de la directive 64/221/CEE et de la jurisprudence de la Cour de justice des Communautés européennes (CJCE) rendue avant la signature de l'Accord (art. 5 al. 2 annexe I ALCP, combiné avec l'art. 16 al. 2 ALCP [cf. ATF 136 II 5 consid. 4.1 p. 19s., ATF 131 II 352 consid. 3.1 p. 357, ATF 130 II 1 consid. 3.6.1 p. 9ss]). 5.2. Conformément à la jurisprudence de la CJCE, les limitations au principe de la libre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136 II 5 consid. 4.2 p. 20, ATF 130 II 176 consid. 3.4.1 p. 182ss; voir également l'arrêt du Tribunal fédéral 2C_664/2009 du 25 février 2010 consid. 4.1 et les arrêts cités de la CJCE). 5.3. En outre, les mesures d'ordre public ou de sécurité publique doivent être fondées, aux termes de l'art. 3 par. 1 de la directive 64/221/CEE, exclusivement sur le comportement personnel de celui qui en fait l'objet. Des motifs de prévention générale détachés du cas individuel ne sauraient donc les justifier. D'après l'art. 3 par. 2 de la directive 64/221/CEE, la seule existence de condamnations pénales (antérieures) ne peut non plus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La CJCE admet néanmoins que, selon les circonstances, le comportement passé de la personne concernée puisse à lui seul constituer pareille menace (cf. ATF 131 II 352 consid. 3.2 p. 357s., ATF 130 II 176 consid. 3.4.1 p. 182ss; voir également l'arrêt du Tribunal fédéral 2C_664/2009 précité consid. 4.1 et les arrêts cités de la CJCE). Toutefois, une mesure d'ordre public n'est pas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l'apprécier en fonction de l'ensemble des circonstances du cas et, en particulier, de la nature et de l'importance du bien juridique menacé ainsi que de la gravité de l'atteinte potentielle qui pourrait y être portée (cf. ATF 136 II 5 consid. 4.2 p. 20, ATF 130 II 493 consid. 3.3 p. 499s. et les références citées). Comme pour tout citoyen étranger, l'examen doit être effectué en tenant compte des garanties découlant de la Convention de sauvegarde des droits de l'homme et des libertés fondamentales du 4 novembre 1950 (CEDH, RS 0.101) et en appliquant le principe de la proportionnalité (cf. ATF 131 II 352 consid. 3.3 p. 358, ATF 130 II 176 consid. 3.4.2 p. 184 et jurisprudence citée). 6.1. Dans le cas d'espèce, A._______ a fait l'objet d'une peine d'emprisonnement de 30 mois ferme le 17 février 2010 notamment pour vol en bande et par métier, dommages à la propriété et vol d'usage. Il ne s'agissait toutefois pas de sa première condamnation, puisqu'il a déjà écopé de trois peines privatives de liberté en France entre 2002 et 2004, de six mois, trois et quatre ans, notamment pour des délits contre le patrimoine. Les infractions qui lui ont été reprochées sont objectivement d'une gravité suffisante pour justifier une mesure d'ordre public. Il reste cependant encore à examiner si ces griefs constituent une menace toujours actuelle, au vu des divers arguments développés dans le recours. 6.2. Le recourant a régulièrement commis des infractions contre le patrimoine d'une gravité certaine. Considérés dans leur ensemble, les antécédents pénaux de A._______ conduisent le Tribunal à considérer que le prénommé éprouve de réelles difficultés à se conformer aux lois en vigueur et qu'il est incapable de s'amender, de sorte que l'on ne saurait exclure l'existence d'une menace pour l'ordre public. C'est moins la gravité intrinsèque de chacun des actes délictueux commis qui caractérise le comportement répréhensible du recourant que la constance de leur répétition. Compte tenu de cette inclination à la délinquance, l'éloignement de l'intéressé de Suisse s'impose pendant quelque temps encore en vue de la prévention de nouvelles infractions. Le laps de temps durant lequel cette mesure d'éloignement déploiera encore ses effets s'avère en effet nécessaire, dans la mesure où il est attendu du recourant qu'il fasse la preuve, par l'acte, d'un revirement significatif d'attitude et d'une durable réintégration sociale. En effet, au vu du peu de temps écoulé depuis la commission des dernières infractions (mars 2009) et sa sortie de prison, le 9 novembre 2010, soit il y a moins d'une année et demie, on ne saurait considérer qu'il a démontré qu'il ne représentait plus une menace actuelle pour l'ordre public en raison d'un amendement définitif. Dans son recours, il invoque que son séjour en prison lui a permis de prendre conscience de ses erreurs et que son comportement a changé depuis lors. Il s'impose toutefois de constater que l'intéressé a déjà purgé des peines privatives de liberté en France (cf. procès-verbal d'audition du 23 avril 2009 et décision de libération conditionnelle du 14 octobre 2010) et que cela ne l'a pas détourné de la délinquance puisqu'il a récidivé en Suisse. Au vu des éléments exposés ci-avant, le parcours personnel de l'intéressé ne permet pas, en l'état, de conclure à un pronostic favorable quant à son comportement futur, de sorte qu'il constitue toujours une menace actuelle pour l'ordre et la sécurité publics justifiant son éloignement de Suisse. Partant, la décision querellée satisfait aux conditions habilitant l'autorité à déroger au principe fondamental de la libre circulation des personnes consacré par l'ALCP.</w:t>
      </w:r>
    </w:p>
    <w:p>
      <w:r>
        <w:rPr>
          <w:b/>
        </w:rPr>
        <w:t>E. 7</w:t>
      </w:r>
    </w:p>
    <w:p>
      <w:r>
        <w:t>Par ailleurs, au regard de l'ensemble des éléments du dossier et en particulier du fait que l'intéressé n'a pas d'attaches particulières avec la Suisse, le Tribunal est d'avis que le maintien de l'interdiction d'entrée pendant une période courant jusqu'au 10 novembre 2015 ne viole pas le principe de proportionnalité, ni le principe d'égalité de traitement, en considération des mesures prises dans des cas analogues.</w:t>
      </w:r>
    </w:p>
    <w:p>
      <w:r>
        <w:rPr>
          <w:b/>
        </w:rPr>
        <w:t>E. 8</w:t>
      </w:r>
    </w:p>
    <w:p>
      <w:r>
        <w:t>Il ressort de ce qui précède que, par sa décision du 9 novembre 2010, l'ODM n'a ni violé le droit fédéral, ni constaté des faits pertinents de manière inexacte ou incomplète ; en outre, cette décision n'est pas inopportune (cf. art. 49 PA). En conséquence, le recours est rejeté.</w:t>
      </w:r>
    </w:p>
    <w:p>
      <w:r>
        <w:rPr>
          <w:b/>
        </w:rPr>
        <w:t>E. 9</w:t>
      </w:r>
    </w:p>
    <w:p>
      <w:r>
        <w:t>Vu l'issue de la cause, il y a lieu de mettre les frais de procédure, d'un montant de Fr. 900.-,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