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C-832/2022 vom 5. Juni 2024</w:t>
      </w:r>
    </w:p>
    <w:p>
      <w:r>
        <w:t>Bundesverwaltungsgericht, 2024-06-05, DE</w:t>
      </w:r>
    </w:p>
    <w:p>
      <w:r>
        <w:rPr>
          <w:b/>
        </w:rPr>
        <w:t xml:space="preserve">Quelle: </w:t>
      </w:r>
      <w:r>
        <w:t>https://mcp.opencaselaw.ch/entscheid/bvger_C-832_2022</w:t>
      </w:r>
    </w:p>
    <w:p>
      <w:r>
        <w:t>FR: TAF C-832/2022 du 5 juin 2024</w:t>
      </w:r>
    </w:p>
    <w:p>
      <w:r>
        <w:t>IT: TAF C-832/2022 del 5 giugno 2024</w:t>
      </w:r>
    </w:p>
    <w:p>
      <w:pPr>
        <w:pStyle w:val="Heading2"/>
      </w:pPr>
      <w:r>
        <w:t>Regeste</w:t>
      </w:r>
    </w:p>
    <w:p>
      <w:r>
        <w:t>Rentenanspruch</w:t>
      </w:r>
    </w:p>
    <w:p>
      <w:pPr>
        <w:pStyle w:val="Heading2"/>
      </w:pPr>
      <w:r>
        <w:t>Erwägungen</w:t>
      </w:r>
    </w:p>
    <w:p>
      <w:r>
        <w:rPr>
          <w:b/>
        </w:rPr>
        <w:t>E. 12</w:t>
      </w:r>
    </w:p>
    <w:p>
      <w:r>
        <w:t>März 2010 E. 4.1 m.H.), dass auch bei Auslandsachverhalten in jedem Einzelfall zu bestimmten ist, welches Mittel geeignet ist, den rechtserheblichen medizinischen Sachver- halt festzustellen (vgl. Urteil des BGer 9C_235/2013 vom 10. September 2013 E. 3.2 m.H.), dass nach dem hier anwendbaren europäischen Koordinationsrecht der zuständige Träger grundsätzlich ein echtes Wahlrecht hat, indem er entwe- der den Träger des Wohn- oder Aufenthaltsortes der berechtigten Person ersuchen kann, eine ärztliche Untersuchung vorzunehmen (vgl. Art. 82 VO Nr. 883/2004 und Art. 87 Abs. 1 VO Nr. 987/09), oder es dem zuständigen Träger freisteht, die betreffende Person durch einen Arzt seiner Wahl un- tersuchen zu lassen, wobei das auch vor Ort im jeweiligen Wohn- oder Aufenthaltsstaat geschehen kann (vgl. Art. 87 Abs. 2 VO Nr. 987/09; siehe zum Ganzen: BERNHARD SPIEGEL, in: Fuchs/Janda [Hrsg.], Europäisches Sozialrecht, 8. Aufl. 2022, Art. 82 VO Nr. 883/2004 N 2 ff., insb. N 6), dass sich aus den massgeblichen Koordinationsvorschriften somit kein Rechtsanspruch auf eine Begutachtung im Wohnsitzstaat ergibt (vgl. Urteil des BVGer C-1331/2020 vom 28. April 2021 E. 5.5), dass dementsprechend kein Rechtsanspruch auf eine Begutachtung im Ausland besteht (vgl. Urteil des BGer 9C_235/2013 vom 10. September 2013 E. 3.2 m.H.), dass sich die Anordnung einer Begutachtung in der Schweiz jedoch als nicht erforderlich und daher unverhältnismässig erweisen kann, sofern die Durchführung der Abklärung ohne weiteres auch am Wohnort der versi- cherten Person möglich ist (vgl. Urteil des BGer I 166/06 vom 30. Januar 2007; siehe auch Urteil des BVGer C-4403/2017 vom 3. September 2018 E. 5.2), dass die ausländische Abklärungsstelle mit den Grundsätzen der schwei- zerischen Versicherungsmedizin vertraut sein muss (vgl. dazu Urteil des BGer 9C_235/2013 vom 10. September 2013 E. 3.2), dass umfassende, schlüssige und nachvollziehbare medizinische Angaben zum Gesundheitsverlauf und der damit einhergehenden Arbeits(un)fähig- keit der versicherten Person in der bisherigen und in einer leidens-</w:t>
      </w:r>
    </w:p>
    <w:p>
      <w:r>
        <w:t>C-832/2022 Seite 7 angepassten Tätigkeit erforderlich sind (vgl. dazu BGE 134 V 231 E. 5.1; 125 V 351 E. 3a), dass sich die rechtsanwendenden Stellen von rechtsstaatlichen Grundsät- zen leiten zu lassen haben, wozu die Verpflichtung zur Objektivität und Un- voreingenommenheit ebenso gehört wie der Grundsatz der rationellen Ver- waltung (vgl. statt vieler: Urteil des BGer 9C_777/2011 vom 3. Februar 2012 E. 2.2 m.H.), dass sich vorliegend nach Einsicht in die Akten bzw. medizinischen Grund- lagen weitere Abklärungen betreffend Gesundheitszustand und Funktions- einschränkungen des Beschwerdeführers aufdrängen, zumal keine ent- sprechende aktuelle und interdisziplinäre Beurteilung unter Einbezug der bisher involvierten Disziplinen (Orthopädie, Psychiatrie, Allgemeinmedizin) aktenkundig ist, dass unter diesen Umständen für das Bundesverwaltungsgericht keine An- haltspunkte ersichtlich sind, weshalb dem übereinstimmenden Antrag der Parteien auf Rückweisung der Sache zu weiteren Abklärungen, insbeson- dere zur Einholung eines psychiatrischen, orthopädischen sowie allge- meinärztlichen Berichts bei unabhängigen, mit der Sache nicht vorbefass- ten Facharztpersonen, nicht entsprochen werden sollte, dass die – vom IV-Stellenarzt vorgeschlagene – Einholung des besagten interdisziplinären Berichts via die zuständige Verbindungsstelle in Deutsch- land nach dem Gesagten voraussetzt, dass die entsprechenden Facharzt- personen mit den Grundsätzen der schweizerischen Versicherungsmedizin vertraut sind und in diesem Sinne eine gleichwertige Abklärungsstelle vor- liegt, ansonsten die notwendigen Abklärungen in der Schweiz vorzuneh- men sind (vgl. dazu Urteile des BVGer C-2958/2015 vom 8. Juni 2016 E. 3.1.2 und C-3716/2017 vom 26. Januar 2018 E. 5.2, je m.H.), dass die Grundsätze der Versicherungsmedizin in Deutschland und der Schweiz unterschiedlich ausgestaltet sind, weshalb rechtsprechungsge- mäss nicht unbesehen auf die Beurteilung deutscher Ärzte bzw. Gutachter abgestellt werden kann (vgl. zit. Urteil des BVGer C-3716/2017 E. 5.2 m.H.), sondern – mangels einer gleichwertigen Abklärungsstelle – nament- lich eine notwendige psychiatrische Begutachtung in der Schweiz zu erfol- gen hat (vgl. zit. Urteil des BVGer C-2958/2015 E. 3.1.2 m.H. auf Urteil des BVGer C-4128/2009 vom 25. Mai 2011 E. 7.4),</w:t>
      </w:r>
    </w:p>
    <w:p>
      <w:r>
        <w:t>C-832/2022 Seite 8 dass zudem die Medizinalpersonen, welche in der Schweiz über eine an- erkannte Facharztausbildung verfügen, regelmässig an versicherungsme- dizinischen Fortbildungen teilnehmen und sich dadurch laufend auf dem aktuellen Wissensstand befinden (vgl. zit. Urteil des BVGer C-2958/2015 E. 3.1.2 m.H. auf BGE 137 V 210 E. 1.2.2 [Ziff. 12]), dass das fehlende Wissen und die fehlende Erfahrung im Bereich der schweizerischen Versicherungsmedizin durch eine entsprechende Instruk- tion seitens der Vorinstanz nicht aufgehoben werden könnte und es zudem nicht Aufgabe der Vorinstanz ist, den Arztpersonen versicherungsmedizini- sche Weiterbildung zu erteilen (vgl. zit. Urteil des BVGer C-3716/2017 E. 5.2 m.w.H.), dass es sich demzufolge rechtfertigt, den Beschwerdeführer in der Schweiz begutachten zu lassen, nachdem – neben orthopädischen und allgemein- medizinischen – namentlich psychiatrische Abklärungen notwendig sind und laut Akten keine Gründe gegen deren Zumutbarkeit sprechen (vgl. Art. 43 Abs. 2 ATSG), dass Art. 49 Bst. b VwVG die unvollständige Feststellung des rechtserheb- lichen Sachverhalts ausdrücklich als Beschwerdegrund nennt, dass eine Sache gemäss Art. 61 Abs. 1 VwVG mit verbindlichen Weisun- gen an die Vorinstanz zurückgewiesen werden kann, dass die Rückweisung der Sache an die Vorinstanz zur weiteren Abklärung ausnahmsweise zulässig ist, da hier erstmalig grundlegende Abklärungen durchzuführen sind (vgl. hierzu BGE 137 V 210 E. 4.4.1.4), dass demnach die Beschwerde gutzuheissen, die angefochtene Verfügung vom 31. Januar 2022 aufzuheben und die Sache zu weiteren Abklärungen im Sinne der Erwägungen und zu neuem Entscheid an die Vorinstanz zu- rückzuweisen ist, dass eine Rückweisung praxisgemäss als Obsiegen der beschwerdefüh- renden Partei gilt (BGE 132 V 215 E. 6), dass bei diesem Ausgang des Verfahrens jedoch keine Verfahrenskosten aufzuerlegen sind (Art. 63 Abs. 1 und 2 VwVG, Art. 6 Bst. b des Reglements vom 21. Februar 2008 über die Kosten und Entschädigungen vor dem Bun- desverwaltungsgericht [VGKE, SR 173.320.2]) und der geleistete</w:t>
      </w:r>
    </w:p>
    <w:p>
      <w:r>
        <w:t>C-832/2022 Seite 9 Kostenvorschuss in der Höhe von Fr. 800.- dem Beschwerdeführer nach Eintritt der Rechtskraft des vorliegenden Urteils zurückzuerstatten ist, dass die (unterliegende) Vorinstanz keine Parteientschädigung beanspru- chen kann (Art. 7 Abs. 3 VGKE), dass dem nicht vertretenen Beschwerdeführer keine verhältnismässig ho- hen Kosten entstanden sind, weshalb ihm ebenfalls keine Parteientschädi- gung zuzusprechen ist (Art. 64 Abs. 1 VwVG; vgl. auch Art. 8 VGKE).</w:t>
      </w:r>
    </w:p>
    <w:p>
      <w:r>
        <w:t>Das Dispositiv folgt auf der nächsten Seite.</w:t>
      </w:r>
    </w:p>
    <w:p>
      <w:r>
        <w:t>C-832/2022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