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C-830/2010 vom 24. Juni 2011</w:t>
      </w:r>
    </w:p>
    <w:p>
      <w:r>
        <w:t>Bundesverwaltungsgericht, 2011-06-24, FR</w:t>
      </w:r>
    </w:p>
    <w:p>
      <w:r>
        <w:rPr>
          <w:b/>
        </w:rPr>
        <w:t xml:space="preserve">Quelle: </w:t>
      </w:r>
      <w:r>
        <w:t>https://mcp.opencaselaw.ch/entscheid/bvger_C-830_2010</w:t>
      </w:r>
    </w:p>
    <w:p>
      <w:r>
        <w:t>FR: TAF C-830/2010 du 24 juin 2011</w:t>
      </w:r>
    </w:p>
    <w:p>
      <w:r>
        <w:t>IT: TAF C-830/2010 del 24 giugno 2011</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 /72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Les dispositions de la 5ème révision de la LAI entrées en vigueur le 1er janvier 2008 sont seules applicables vu le dépôt de la demande de prestations en date du 12 janvier 2009. En l'espèce, le Tribunal peut se limiter à examiner si le recourant remplissait les conditions d'octroi d'une rente jusqu'au 25 septembre 2009, date de la décision attaquée marquant la limite dans le temps du pouvoir d'examen de l'autorité de recours (ATF 129 V 1 consid. 2.1 avec les réf).</w:t>
      </w:r>
    </w:p>
    <w:p>
      <w:r>
        <w:rPr>
          <w:b/>
        </w:rPr>
        <w:t>E. 4</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Le recourant a versé des cotisations à l'AVS/AI pendant plus de 15 ans et remplit donc la condition de la durée minimale de cotisations eu égard au moment de l'ouverture éventuelle du droit à la rente. Il reste à examiner s'il est invalide au sens de la LAI.</w:t>
      </w:r>
    </w:p>
    <w:p>
      <w:r>
        <w:rPr>
          <w:b/>
        </w:rPr>
        <w:t>E. 5.1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Un assuré a droit à un quart de rente s'il est invalide à 40% au moins, à une demi-rente s'il est invalide à 50% au moins, à trois-quarts de rente s'il est invalide à 60% au moins et à une rente entière s'il est invalide à 70% au moins (art. 28 al. 2 LAI). Suite à l'entrée en vigueur le 1er juin 2002 de l'accord bilatéral entre la Suisse et la Communauté européenne, la restriction prévue à l'art.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w:t>
      </w:r>
    </w:p>
    <w:p>
      <w:r>
        <w:rPr>
          <w:b/>
        </w:rPr>
        <w:t>E. 5.3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5.4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6.1</w:t>
      </w:r>
    </w:p>
    <w:p>
      <w:r>
        <w:t>Le recourant a travaillé en Suisse plus de 15 ans dans la construction jusqu'en 1997. En Espagne, sa dernière activité a été celle de charpentier jusqu'en 2007 puis il cessa toute activité lucrative en raison d'atteintes à sa santé.</w:t>
      </w:r>
    </w:p>
    <w:p>
      <w:r>
        <w:rPr>
          <w:b/>
        </w:rPr>
        <w:t>E. 6.2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w:t>
      </w:r>
    </w:p>
    <w:p>
      <w:r>
        <w:rPr>
          <w:b/>
        </w:rPr>
        <w:t>E. 6.3</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8.1</w:t>
      </w:r>
    </w:p>
    <w:p>
      <w:r>
        <w:t>En l'espèce, il n'est pas contesté que depuis son accident du travail survenu en juin 2007 l'intéressé ne peut plus exercer l'activité physiquement exigeante de charpentier. Selon le rapport médical E 213 du 30 janvier 2009 l'assuré présente des limitations de mobilité affectant ses membres inférieur et supérieur droits qui sont manifestement incompatibles avec l'activité d'un charpentier. Le rapport précité mentionne toutefois que l'intéressé peut exercer à plein temps une activité légère adaptée. Or, il ne ressort pas dudit rapport et de l'ensemble du dossier des atteintes à la santé permettant de mettre en doute une capacité de travail résiduelle limitée à des travaux légers sans grands déplacements ni port de charges supérieures à 5 kg. Il appert certes du dossier également un diabète de type II mal contrôlé, mais sans complication. Le service médical de l'OAIE a relevé à ce sujet que bien que mal contrôlé cette atteinte à la santé n'était pas constitutive d'une incapacité de travail s'ajoutant aux 20% retenus initialement pour les limitations ostéoarticulaires de l'intéressé dans une activité légère adaptée.</w:t>
      </w:r>
    </w:p>
    <w:p>
      <w:r>
        <w:rPr>
          <w:b/>
        </w:rPr>
        <w:t>E. 8.2</w:t>
      </w:r>
    </w:p>
    <w:p>
      <w:r>
        <w:t>Dans son recours l'intéressé n'évoque pas de plaintes ni d'atteintes à la santé autres que celles prises en compte dans le dossier. Elles se résument à un status post fracture pertrochantérienne comminutive du fémur droit, à une rupture importante des tendons de la coiffe des rotateurs droite et à un diabète de type II. A titre principal il fait valoir que le Sécurité sociale espagnole lui a reconnu un taux d'invalidité de 57% et demande la reconnaissance d'un taux de plus de 50% au moins. Or, l'assurance-invalidité suisse n'est pas liée par les décisions d'un organisme étranger dont les critères décisionnels sont différents en raison d'un contexte juridique différent (cf. consid. 2.3). Il s'ensuit que la possibilité d'une activité légère adaptée à 80% telle que relevée par le service médical de l'OAIE avec les exemples d'activité - non exhaustifs - proposés par le Dresse B._______, doit être confirmée. Cette évaluation est favorable pour le recourant si l'on tient compte du fait que l'expertise E 213 mentionne qu'une activité adéquate serait exigible même à plein temps.</w:t>
      </w:r>
    </w:p>
    <w:p>
      <w:r>
        <w:rPr>
          <w:b/>
        </w:rPr>
        <w:t>E. 9.1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9.2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w:t>
      </w:r>
    </w:p>
    <w:p>
      <w:r>
        <w:rPr>
          <w:b/>
        </w:rPr>
        <w:t>E. 10.1</w:t>
      </w:r>
    </w:p>
    <w:p>
      <w:r>
        <w:t>En l'espèce il y a lieu de procéder à une évaluation de l'invalidité selon la méthode générale par une comparaison de revenus sur la base de l'Enquête suisse sur la structure des salaires 2008 car il doit être admis que c'est à compter de juin 2008 que l'intéressé a présenté une incapacité de travail déterminante ouvrant théoriquement le droit à une rente (perçue in casu à compter du 1er juillet 2009 compte tenu du dépôt de la demande de prestations le 12 janvier 2009, art. 29 al. 1 LAI). En effet, selon la jurisprudence, les salaires avant et après invalidité doivent être pris en compte / indexés jusqu'à la date de la survenance du droit théorique éventuel à la rente suite au délai d'attente d'une année (ATF 128 V 174 et 129 V 222).</w:t>
      </w:r>
    </w:p>
    <w:p>
      <w:r>
        <w:rPr>
          <w:b/>
        </w:rPr>
        <w:t>E. 10.2</w:t>
      </w:r>
    </w:p>
    <w:p>
      <w:r>
        <w:t>L'OAIE a retenu comme base de comparaison sans invalidité le revenu d'un ouvrier spécialisé dans les travaux du bois et la fabrication d'articles en bois en 2006. Selon l'Enquête suisse sur la structure des salaires 2008 (in casu applicable), table TA1, niveau 3, il en résulte un salaire mensuel de Fr. 5'429.- pour 40 h./sem. et de Fr. 5'727.59 pour 42.2 h./sem. selon le temps de travail hebdomadaire dans ce secteur.</w:t>
      </w:r>
    </w:p>
    <w:p>
      <w:r>
        <w:rPr>
          <w:b/>
        </w:rPr>
        <w:t>E. 10.3</w:t>
      </w:r>
    </w:p>
    <w:p>
      <w:r>
        <w:t>Le salaire après invalidité doit également être fixé sur la base des données statistiques résultant de l'Enquête suisse sur les salaires 2008 (table TA1). En l'occurrence les activités de substitution proposées par la Dresse B._______ ainsi que de nombreuses autres activités possibles s'inscrivent dans la détermination du revenu médian toutes branches confondues dans le secteur privé pour des activités simples et répétitives (niveau 4) à 100%, soit Fr. 4'806.- pour 40 h./sem. et Fr. 4'998.24 pour 41.6 h./sem., sous déduction de 20% pour tenir compte de l'âge de l'assuré et de ses restrictions personnelles aux activités légères, soit Fr. 3'998.59.-. Au taux d'activité de 80% ce montant s'élève à Fr. 3'198.87. De nombreuses activités d'entre elles peuvent être exercées sans efforts moyennement importants en position assise, autorisant le changement de position, ne requérant que de courts déplacements, sans manipulation ou port d'objets relativement lourds, de sorte que ces activités sont adaptées au handicap du recourant. De plus, la majeure partie de ces postes ne nécessite pas de formation particulière autre qu'une mise au courant initiale.</w:t>
      </w:r>
    </w:p>
    <w:p>
      <w:r>
        <w:rPr>
          <w:b/>
        </w:rPr>
        <w:t>E. 10.4</w:t>
      </w:r>
    </w:p>
    <w:p>
      <w:r>
        <w:t>En comparant le salaire avant invalidité de Fr. 5'727.59 avec celui après invalidité de Fr. 3'198.87, on obtient une perte de gain de 44.14% arrondie à 44% ([5'727.59 - 3'198.87] : 5'727.59 x 100). Même indexés valeurs 2010, année de la décision attaquée, les revenus à comparer ne permettent pas d'atteindre un taux d'invalidité égal ou supérieur à 50%.</w:t>
      </w:r>
    </w:p>
    <w:p>
      <w:r>
        <w:rPr>
          <w:b/>
        </w:rPr>
        <w:t>E. 10.5</w:t>
      </w:r>
    </w:p>
    <w:p>
      <w:r>
        <w:t>Il appert de ce qui précède que le recours doit être rejeté et la décision attaquée confirmée.</w:t>
      </w:r>
    </w:p>
    <w:p>
      <w:r>
        <w:rPr>
          <w:b/>
        </w:rPr>
        <w:t>E. 11</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12.1</w:t>
      </w:r>
    </w:p>
    <w:p>
      <w:r>
        <w:t>Le recours étant manifestement infondé, il est rejeté dans une procédure à juge unique en application de l'art. 85bis al. 3 de la loi fédérale du 20 décembre 1946 sur l'assurance-vieillesse et survivants (LAVS, RS 831.10) auquel renvoie l'art. 69 al. 2 LAI en relation avec l'art. 23 al. 2 LTAF.</w:t>
      </w:r>
    </w:p>
    <w:p>
      <w:r>
        <w:rPr>
          <w:b/>
        </w:rPr>
        <w:t>E. 12.2</w:t>
      </w:r>
    </w:p>
    <w:p>
      <w:r>
        <w:t>Les frais de procédure, fixés à CHF 300.-, sont mis à la charge du recourant (art. 63 al. 1 PA, applicable par le truchement de l'art. 37 LTAF). Ils sont compensés par l'avance de frais du même montant dont il s'est acquitté au cours de l'instruction. Vu l'issue du litige, il n'est pas alloué d'indemnité de dépens (art. 7 al. 3 du règlement du 21 février 2008 concernant les frais, dépens et indemnités fixés par le Tribunal administratif fédéral [FITAF, RS 173. 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