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C-8302/2007 vom 10. August 2009</w:t>
      </w:r>
    </w:p>
    <w:p>
      <w:r>
        <w:t>Bundesverwaltungsgericht, 2009-08-10, IT</w:t>
      </w:r>
    </w:p>
    <w:p>
      <w:r>
        <w:rPr>
          <w:b/>
        </w:rPr>
        <w:t xml:space="preserve">Quelle: </w:t>
      </w:r>
      <w:r>
        <w:t>https://mcp.opencaselaw.ch/entscheid/bvger_C-8302_2007</w:t>
      </w:r>
    </w:p>
    <w:p>
      <w:r>
        <w:t>FR: TAF C-8302/2007 du 10 août 2009</w:t>
      </w:r>
    </w:p>
    <w:p>
      <w:r>
        <w:t>IT: TAF C-8302/2007 del 10 agosto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legge federale del 26 marzo 1931 concernente la dimora e il domicilio degli stranieri (LDDS, CS 1 117) conformemente all'art. 125 LStr in relazione con il suo allegato 2 (art. 125), cifra I. Giusta l'art. 126 cpv. 1 LStr, alle procedure introdotte prima del 1° gennaio 2008 rimane tuttavia applicabile il diritto previgente (cfr. DTAF 2008/1 consid. 2). La decisione impugnata è stata emessa prima dell'entrata in vigore della LStr; per l'esame materiale del suddetto ricorso ci si deve pertanto riferire alla normativa precedente, segnatamente all'art. 13 cpv. 1 LDDS, come altresì alle corrispondenti disposizioni di applicazione. In applicazione dell'art. 126 cpv. 2 LStr, la procedura inerente alle domande presentate prima dell'entrata in vigore della LStr il 1° gennaio 2008, è retta dal nuovo diritto.</w:t>
      </w:r>
    </w:p>
    <w:p>
      <w:r>
        <w:rPr>
          <w:b/>
        </w:rPr>
        <w:t>E. 3.1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l'ALC non dispone altrimenti (cfr. art. 1 let. a LDDS). A._______ è cittadino italiano, pertanto nella valutazione della presente causa è necessario tenere conto delle disposizioni dell'ALC.</w:t>
      </w:r>
    </w:p>
    <w:p>
      <w:r>
        <w:rPr>
          <w:b/>
        </w:rPr>
        <w:t>E. 3.2</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3.3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3.4</w:t>
      </w:r>
    </w:p>
    <w:p>
      <w:r>
        <w:t>I provvedimenti di ordine pubblico o di pubblica sicurezza devono inoltre essere adottati esclusivamente in relazione al comportamento personale dell'individuo nei riguardi del quale essi sono applicati (art. 3 par.1 della direttiva 64/221).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emerga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3.5</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sentenze del Tribunale federale 2C_520/2008 del 3 aprile 2009 consid. 3.2 e 2C_375/2007 dell'8 novembre 2007 consid. 3).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4.1</w:t>
      </w:r>
    </w:p>
    <w:p>
      <w:r>
        <w:t>Nel caso di specie, con sentenza del 5 gennaio 2007, la Corte delle assise criminali di Lugano ha riconosciuto A._______ autore colpevole di infrazione aggravata e contravvenzione ripetuta alla LStup, condannandolo alla pena detentiva di due anni, pena sospesa condizionalmente per un periodo di prova di tre anni.</w:t>
      </w:r>
    </w:p>
    <w:p>
      <w:r>
        <w:rPr>
          <w:b/>
        </w:rPr>
        <w:t>E. 4.2</w:t>
      </w:r>
    </w:p>
    <w:p>
      <w:r>
        <w:t>Come emerso dalla decisione impugnata e in particolare dagli atti penali, il ricorrente è stato condannato per avere, senza essere autorizzato, dal novembre 2004 a metà maggio 2006, a Melano, Maroggia, Melide, Campione d'Italia ed in altre località non meglio precisate, agendo singolarmente e in correità con terzi, venduto o procurato a terzi circa 800 grammi di cocaina nonché ceduto gratuitamente circa 60/65 grammi di cocaina, e per avere senza essere autorizzato, da settembre/ottobre 2004 a maggio 2006, a Maroggia, Melano Morcote ed altre località non meglio precisate, in più occasioni, consumato circa 230 grammi di cocaina e detenuto al momento dell'arresto un misto di cocaina ed eroina. Da quanto precede risulta che il ricorrente si è reso colpevole di reati in un campo - quello del traffico di sostanze stupefacenti - particolarmente delicato dell'ordinamento giuridico svizzero e ove la prassi è molto rigorosa (cfr. DTF 125 II 521 consid. 4a/aa; 122 II 433 consid. 2c). Il comportamento assunto dall'interessato rappresenta pertanto un pericolo serio per un interesse fondamentale della società, come la lotta al traffico di droga e al diffondersi del suo consumo, nonché per un bene giuridico essenziale quale la salute pubblica.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5</w:t>
      </w:r>
    </w:p>
    <w:p>
      <w:r>
        <w:t>Resta ora da stabilire se il provvedimento amministrativo emanato nei confronti del ricorrente è conforme all'ALC, ossia se il comportamento personale del ricorrente costituisce una minaccia attuale, effettiva e concreta all'ordine pubblico, tale da giustificare una misura per motivi di ordine pubblico giusta l'art. 5 Allegato I ALC.</w:t>
      </w:r>
    </w:p>
    <w:p>
      <w:r>
        <w:rPr>
          <w:b/>
        </w:rPr>
        <w:t>E. 5.1</w:t>
      </w:r>
    </w:p>
    <w:p>
      <w:r>
        <w:t>Nella presente fattispecie, i giudici penali hanno riconosciuto al ricorrente delle circostanze attenuanti, mitigandone quindi la responsabilità e formulando, sulla base del profilo soggettivo, una prognosi tendenzialmente favorevole nei suoi confronti, nonostante la notevole gravità oggettiva dei reati. In particolare, essi hanno ritenuto in favore dell'interessato il fatto che egli ha pienamente confessato i propri reati nell'ambito della droga collaborando con gli inquirenti sino ai limiti del sincero pentimento. L'interessato ha giustificando il proprio agire in parte con l'esigenza di far fronte all'onere causato dai suoi consumi di cocaina, e dall'altro con le pressioni causategli da un ambiente di lavoro negativo, in cui veniva con frequenza sollecitato dagli avventori del locale notturno affinché procurasse loro lo stupefacente, per il che egli non ha saputo dire di no, anche nell'ottica di favorire il buon andamento del locale. Egli non ha tratto alcun profitto dalle vendite di cocaina, potendo con ciò unicamente garantire, e nemmeno totalmente, il proprio personale consumo. Egli era inoltre da considerare consumatore al punto da dover essere ritenuto in stato di almeno lieve scemata imputabilità. Incensurato sino alla suddetta condanna, il ricorrente ha poi dimostrato mediante reinserimento immediato nel mondo del lavoro di aver abbandonato l'ambiente dei locali notturni e di avere cessato ogni consumo di droga. Attualmente egli è iscritto all'albo degli artigiani di Roma. Dall'estratto del casellario giudiziale italiano del 23 aprile 2009 prodotto dall'interessato risulta infine che non ha interessato le autorità giudiziarie italiane, fatto quest'ultimo constatato altresì dalla domanda d'estratto del casellario giudiziale richiesto il 13 maggio 2009 dall'Ufficio federale di giustizia alla corrispondente autorità italiana competente in ambito.</w:t>
      </w:r>
    </w:p>
    <w:p>
      <w:r>
        <w:rPr>
          <w:b/>
        </w:rPr>
        <w:t>E. 5.2</w:t>
      </w:r>
    </w:p>
    <w:p>
      <w:r>
        <w:t>Alla luce di quanto esposto, i presupposti per una restrizione al principio della libera circolazione non sono più adempiuti. Sebbene il lasso di tempo trascorso dai fatti commessi tra il novembre 2004 e la metà di maggio 2006 risulta essere relativamente breve si evince dagli atti in causa che l'interessato si è integrato rapidamente nel mondo lavorativo, nonostante il grave incidente stradale subito il 7 aprile 2007, che gli ha causato gravi problemi alla schiena. Oltre a ciò egli non ha più dato adito a lagnanza alcuna. Si constata inoltre che l'interessato non ha precedenti penali di modo che il pericolo di recidiva risulta essere minimo. Ne discende che il ricorrente non rappresenta più una minaccia effettiva, attuale e sufficientemente grave ad un interesse fondamentale della società, tale da legittimare una misura per motivi di ordine pubblico giusta l'art. 5 Allegato I ALC (cfr. sentenza del Tribunale federale 2C_378/2007 del 14 gennaio 2008).</w:t>
      </w:r>
    </w:p>
    <w:p>
      <w:r>
        <w:rPr>
          <w:b/>
        </w:rPr>
        <w:t>E. 6</w:t>
      </w:r>
    </w:p>
    <w:p>
      <w:r>
        <w:t>Di conseguenza il ricorso è accolto e la decisione del 20 agosto 2007 dell'UFM è annullata con effetto immediato.</w:t>
      </w:r>
    </w:p>
    <w:p>
      <w:r>
        <w:rPr>
          <w:b/>
        </w:rPr>
        <w:t>E. 7</w:t>
      </w:r>
    </w:p>
    <w:p>
      <w:r>
        <w:t>Visto l'esito della procedura, non si prelevano spese processuali (art. 63 cpv. 1 PA e contrario).</w:t>
      </w:r>
    </w:p>
    <w:p>
      <w:r>
        <w:rPr>
          <w:b/>
        </w:rPr>
        <w:t>E. 8</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 ricorrente un'indennità per le spese processuali indispensabili e relativamente elevate che ha sopportato. In concreto si constata che l'interessato è patrocinato da un legale. Tenuto conto dell'insieme delle circostanze della fattispecie, della sua difficoltà, nonché della mole di lavoro svolto, il Tribunale ritiene, ai sensi degli art. 8 segg. TS-TAF, che il versamento al ricorrente di un'indennità di Fr. 1'200.- a titolo di spese ripetibili appaia equa. Pertanto la domanda di gratuito patrocinio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