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C-8300/2007 vom 19. November 2008</w:t>
      </w:r>
    </w:p>
    <w:p>
      <w:r>
        <w:t>Bundesverwaltungsgericht, 2008-11-19, DE</w:t>
      </w:r>
    </w:p>
    <w:p>
      <w:r>
        <w:rPr>
          <w:b/>
        </w:rPr>
        <w:t xml:space="preserve">Quelle: </w:t>
      </w:r>
      <w:r>
        <w:t>https://mcp.opencaselaw.ch/entscheid/bvger_C-8300_2007</w:t>
      </w:r>
    </w:p>
    <w:p>
      <w:r>
        <w:t>FR: TAF C-8300/2007 du 19 novembre 2008</w:t>
      </w:r>
    </w:p>
    <w:p>
      <w:r>
        <w:t>IT: TAF C-8300/2007 del 19 novembre 2008</w:t>
      </w:r>
    </w:p>
    <w:p>
      <w:pPr>
        <w:pStyle w:val="Heading2"/>
      </w:pPr>
      <w:r>
        <w:t>Regeste</w:t>
      </w:r>
    </w:p>
    <w:p>
      <w:r>
        <w:t>Einreise</w:t>
      </w:r>
    </w:p>
    <w:p>
      <w:pPr>
        <w:pStyle w:val="Heading2"/>
      </w:pPr>
      <w:r>
        <w:t>Erwägungen</w:t>
      </w:r>
    </w:p>
    <w:p>
      <w:r>
        <w:rPr>
          <w:b/>
        </w:rPr>
        <w:t>E. 1.1</w:t>
      </w:r>
    </w:p>
    <w:p>
      <w:r>
        <w:t>Am 1. Januar 2008 traten das neue Bundesgesetz vom 16. Dezember 2005 über die Ausländerinnen und Ausländer (AuG, SR 142.20) sowie die dazugehörigen Ausführungsverordnungen in Kraft (u.a. die Verordnung über das Einreise- und Visumverfahren). Gemäss den Übergangsbestimmungen richtet sich das Verfahren nach dem neuen Recht (Art. 126 Abs. 2 AuG), womit nach Art. 112 Abs. 1 AuG die allgemeinen Bestimmungen der Bundesrechtspflege anwendbar sind.</w:t>
      </w:r>
    </w:p>
    <w:p>
      <w:r>
        <w:rPr>
          <w:b/>
        </w:rPr>
        <w:t>E. 1.2</w:t>
      </w:r>
    </w:p>
    <w:p>
      <w:r>
        <w:t>Verfügungen der Vorinstanz betreffend Verweigerung der Einreisebewilligung unterliegen demnach der Beschwerde an das Bundesverwaltungsgericht (Art. 31, Art. 32 sowie Art. 33 Bst. d des Verwaltungsgerichtsgesetzes vom 17. Juni 2005 [VGG, SR 173.32]). 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als Verfügungsadressat zur Beschwerde legitimiert; auf die frist- und formgerecht eingereichte Beschwerde ist einzutreten (Art. 48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 Gemäss Art. 126 Abs. 1 AuG bleibt auf Gesuche, die vor dem Inkraftreten des AuG eingereicht worden sind, aber das bisherige (materielle) Recht anwendbar.</w:t>
      </w:r>
    </w:p>
    <w:p>
      <w:r>
        <w:rPr>
          <w:b/>
        </w:rPr>
        <w:t>E. 2.2</w:t>
      </w:r>
    </w:p>
    <w:p>
      <w:r>
        <w:t>Da das der Beschwerde zugrunde liegende Gesuch um Einreise am 28. Juni 2007 eingereicht wurde, erfolgt die Beurteilung noch nach dem alten Recht. Einschlägig sind demnach das Bundesgesetz vom 26. März 1931 über Aufenthalt und Niederlassung der Ausländer (ANAG, BS 1 121, zum vollständigen Quellennachweis vgl. Ziff. I des Anhangs zum AuG) sowie die gestützt darauf erlassenen Durchführungsvorschriften (Art. 25 ANAG), insbesondere die Verordnung über die Einreise und Anmeldung von Ausländerinnen und Ausländern (VEA).</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VEA; PETER UEBERSAX, Einreise und Anwesenheit, in: Peter Uebersax/Peter Münch/ Thomas Geiser/Martin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Basel/Genf/ München 2000, S. 24; BGE 133 I 185 E. 2.3).</w:t>
      </w:r>
    </w:p>
    <w:p>
      <w:r>
        <w:rPr>
          <w:b/>
        </w:rPr>
        <w:t>E. 3.2</w:t>
      </w:r>
    </w:p>
    <w:p>
      <w:r>
        <w:t>Ausländerinnen und Ausländer benötigen zur Einreise in die Schweiz einen Pass und ein Visum, sofern sie nicht aufgrund besonderer Regelung von diesem Erfordernis ausgenommen sind (vgl. Art. 1 bis 5 VEA).</w:t>
      </w:r>
    </w:p>
    <w:p>
      <w:r>
        <w:rPr>
          <w:b/>
        </w:rPr>
        <w:t>E. 3.3</w:t>
      </w:r>
    </w:p>
    <w:p>
      <w:r>
        <w:t>Um ein Visum zu erhalten, müssen Ausländerinnen und Ausländer die in Art. 1 Abs. 2 VEA aufgeführten Voraussetzungen erfüllen. Gemäss Art. 1 Abs. 2 Bst. c VEA haben sie unter anderem Gewähr für eine fristgerechte Wiederausreise zu bieten.</w:t>
      </w:r>
    </w:p>
    <w:p>
      <w:r>
        <w:rPr>
          <w:b/>
        </w:rPr>
        <w:t>E. 4.1</w:t>
      </w:r>
    </w:p>
    <w:p>
      <w:r>
        <w:t>Die Gesuchstellerinnen können sich auf keine Ausnahmeregelung berufen; sie sind aufgrund ihrer Staatsangehörigkeit visumspflichtig. Die Vorinstanz verweigerte den Gesuchstellerinnen die Erteilung eines solchen Visums mit der Begründung, ihre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Dank anhaltenden kräftigen Wachstums (8,7% im Haushaltsjahr 2007/8; durchschnittlich 8% in den letzten fünf Jahren) gehört Indien heute zu denjenigen Staaten mit dem weltweit grössten Bruttoinlandprodukt (BIP). Die meisten langfristigen Wachstumsprognosen gehen davon aus, dass das Land mit seinen gegenwärtig ca. 1,1 Mia. Menschen bis 2050 ein BIP erwirtschaften wird, das dann nur noch von China und den USA übertroffen werden kann. Gemessen in Kaufkraftparität nimmt Indien bereits jetzt den vierten Rang weltweit ein. Hinter dem durchschnittlichen jährlichen Pro-Kopf-Einkommen von 828 US-Dollar (USD) im abgelaufenen Fiskaljahr 2007/8 verbergen sich allerdings grosse regionale Unterschiede und wachsende Disparitäten zwischen einer sich herausbildenden städtischen Mittelschicht und der überwiegend armen Bevölkerung auf dem Lande, wo noch ca. 70% aller Inderinnen und Inder leben. Etwa ein Viertel der Gesamtbevölkerung lebt unterhalb der Armutsgrenze von 1 USD pro Kopf und Tag. Der Dienstleistungssektor mit seinem anhaltend überproportionalen Wachstum (2006/7: 11%, Prognose für 2007/8: 9 - 11 %) erwirtschaftet mehr als die Hälfte des BIP (55%), beschäftigt jedoch nur ca. 25% der Arbeitskräfte (nach Angaben der Regierung verfügen nur 5% aller Arbeitskräfte überhaupt über eine berufliche Qualifikation). Genau umgekehrt verhält es sich mit der Landwirtschaft, deren Anteil bei mageren 2,7% Wachstum im letzten Fiskaljahr weiter absank und nur noch bei 18,5% liegt (1990/1 betrug er noch 34%), die aber weiterhin fast zwei Drittel der Landbevölkerung mehr schlecht als recht ernährt. Unter dem Strich hängt über die Hälfte der 1,1 Mia. Inderinnen und Inder direkt von der Landwirtschaft ab, die mit häufig suboptimalen Flächen, geringer Kapitalintensität, stagnierenden Erträgen und mangelnder Logistik- und Absatzorganisation das Sorgenkind jeder indischen Regierung bleiben muss (Länder- und Reiseinformationen auf der Website des Auswärtigen Amtes, Länder- und Reiseinformationen &gt; Indien, &lt;http://www.auswaertiges-amt.de&gt;, Stand: Juni 2008). So ist das Land trotz des anhaltenden Wirtschaftswachstums von weit verbreiteter Armut und einer hohen Analphabetenrate geprägt; breite Bevölkerungsschichten leben nach wie vor unter vergleichsweise schwierigen ökonomischen und sozialen Lebensbedingungen.</w:t>
      </w:r>
    </w:p>
    <w:p>
      <w:r>
        <w:rPr>
          <w:b/>
        </w:rPr>
        <w:t>E. 4.4</w:t>
      </w:r>
    </w:p>
    <w:p>
      <w:r>
        <w:t>Bei der Risikoanalyse sind aber nicht nur solch allgemeine Umstände und Erfahrungen, sondern auch sämtliche Gesichtspunkte des konkreten Einzelfalles zu berücksichtigen. Obliegt einer Gesuchstellerin oder einem Gesuchsteller im Heimatstaat beispielsweise eine besondere berufliche, gesellschaftliche oder familiäre Verantwortung, kann dieser Umstand durchaus die Prognose für eine anstandslose Wiederausreise begünstigen. Andererseits muss bei Antragstellerinnen und Antragstellern,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 den Gesuchstellerinnen handelt es sich um 25- bzw. 23-jährige ledige Frauen. Gemäss Angaben des Beschwerdeführers befinden sich beide zur Zeit in einer zweijährigen Ausbildung im Bereich "beauty und cosmetics". Ob sie mit dieser Tätigkeit in Indien ihren Lebensunterhalt selber bestreiten können, geht aus den Akten nicht hervor. Auf jeden Fall kann nicht von einer besonders vorteilhaften und stabilen wirtschaftlichen Situation ausgegangen werden. Demzufolge kann bei den Gesuchstellerinnen - wie die Vorinstanz zutreffend festhielt - nicht auf besondere berufliche Verpflichtungen geschlossen werden. Insofern scheint es nicht abwegig anzunehmen, dass der Wunsch zur Emigration vorhanden ist oder zumindest entstehen könnte. Hinzu kommt - was vom Beschwerdeführer nicht bestritten wird - das Fehlen zwingender familiärer Verpflichtungen. Dass die Gesuchstellerinnen lediglich einen Besuchsaufenthalt von 30 Tagen beantragt haben, vermag am vorgenannten hohen Risiko einer nicht fristgerechten Ausreise ebenso wenig etwas zu ändern wie der Umstand, dass K._______ bereits einmal in Deutschland zu Besuch gewesen und offenbar wieder rechtzeitig in ihre Heimat zurückgekehrt ist. Der Beschwerdeführer verkennt in diesem Zusammenhang, dass bezüglich der Begleitumstände und Voraussetzungen jenes Besuches nicht ohne weiteres auf den vorliegenden Fall geschlossen werden kann. Einerseits ist nicht bekannt, was in Bezug auf jenes Einreisegesuch überhaupt geprüft worden war. Anderseits ist der Gastgeber nicht identisch. Insofern ist das Risiko einer nicht fristgerechten Rückkehr höher, wenn es sich bei der Bezugsperson im Gastgeberland - wie hier - um einen engsten Familienangehörigen handelt, was in Deutschland mit dem Bruder des Beschwerdeführers nicht der Fall war.</w:t>
      </w:r>
    </w:p>
    <w:p>
      <w:r>
        <w:rPr>
          <w:b/>
        </w:rPr>
        <w:t>E. 5.2</w:t>
      </w:r>
    </w:p>
    <w:p>
      <w:r>
        <w:t>Entgegen den Vorbringen des Beschwerdeführers greift die Verweigerung eines 30-tägigen Besuchsaufenthalts in casu nicht in den Schutzbereich des Privat- und Familienlebens ein (Art. 13 [und 14] BV und Art. 8 EMRK), verleiht doch keine dieser Bestimmungen einen Anspruch auf Einreise oder Verwirklichung des Familienlebens an einem bestimmten Ort (vgl. BGE 130 II 281 E. 3.1 [mit Hinweisen], ferner STEPHAN BREITENMOSER, in: Bernhard Ehrenzeller / Philippe Mastronardi / Rainer J. Schweizer / Klaus A. Vallender, Die Schweizerische Bundesverfassung, Zürich 2002, N 25 zu Art. 13; ARTHUR HAEFLIGER/FRANK SCHÜRMANN, Die Europäische Menschenrechtskonvention und die Schweiz, Die Bedeutung der Konvention für die schweizerische Rechtspraxis, 2. Aufl., Bern 1999, S. 261). Von einem rechtfertigungsbedürftigen Grundrechtseingriff könnte - wenn überhaupt - allenfalls dann ausgegangen werden, wenn die Wahrnehmung familiärer Kontakte in zumutbarer Weise nur durch Besuche der Gesuchstellerinnen in der Schweiz zu verwirklichen wäre, was vorliegend nicht zutrifft. Dem Beschwerdeführer steht nämlich weiterhin die Möglichkeit offen, seine Töchter in Indien zu besuchen, wie er dies letztmals im Jahre 2006 getan hat.</w:t>
      </w:r>
    </w:p>
    <w:p>
      <w:r>
        <w:rPr>
          <w:b/>
        </w:rPr>
        <w:t>E. 5.3</w:t>
      </w:r>
    </w:p>
    <w:p>
      <w:r>
        <w:t>Der Beschwerdeführer beantragt eventualiter seine Verpflichtung zu einer gerichtlich festzulegenden Sicherheitsleistung (Kaution). Mit der Unterzeichung der Unterhaltsverpflichtung am 18. September 2007 hat er sich bereit erklärt, für die Lebensunterhaltskosten der Gesuchstellerinnen während des geplanten Besuchsaufenthalts aufzukommen. Die Pflicht zur Abgabe einer solchen Erklärung stützt sich auf Art. 7 Abs. 1 VEA und umfasst auch allfällige Kosten für Unfall und Krankheit während des Besuchaufenthalts sowie die Rückreisekosten, wobei die Garantiesumme Fr. 20'000.- beträgt (Art. 7 Abs. 3 VEA). Weitere Auflagen, wie die von ihm beantragte Kaution, sind nicht vorgesehen. Der Beschwerdeführer verkennt dabei auch, dass in Bezug auf die Abwägung des Risikos einer nicht fristgerechten Wiederausreise nicht so sehr die Einstellung oder Ansichten des Gastgebers, sondern in erster Linie das mögliche Verhalten des Gastes bzw. der Gäste selbst von Bedeutung ist. Nur Letztere sind in der Lage, hinreichend Gewähr für eine fristgerechte und anstandslose Wiederausreise zu bieten. Der Gastgeber kann zwar - wie er dies mit der Unterzeichung der Unterhaltsverpflichtung und dem Abschluss einer Reiseversicherung für die Gesuchstellerinnen getan hat - für gewisse finanzielle Risiken Garantie leisten, nicht aber - mangels rechtlicher und faktischer Durchsetzbarkeit - für ein bestimmtes Verhalten der Gäste (vgl. anstelle vieler Urteile des Bundesverwaltungsgerichts C-5488/2007 vom 19. August 2008 E. 5.3 und C-6493/2007 vom 9. Juni 2008 E. 5.3).</w:t>
      </w:r>
    </w:p>
    <w:p>
      <w:r>
        <w:rPr>
          <w:b/>
        </w:rPr>
        <w:t>E. 6</w:t>
      </w:r>
    </w:p>
    <w:p>
      <w:r>
        <w:t>Aufgrund dieser Darlegungen ist somit nicht zu beanstanden, dass die Vorinstanz das öffentliche Interesse sowie die Beachtung der geltenden Bestimmungen entsprechend gewichtete und den Gesuchstellerinnen die Einreise verweigerte. Die angefochtene Verfügung verletzt daher Bundesrecht nicht. Auf eine Befragung des Beschwerdeführers und seiner Ehefrau kann ferner verzichtet werden, zumal das Bundesverwaltungsgericht trotz der von der kantonalen Migrationsbehörde gemachten Feststellungen in Bezug auf die Uneinigkeit über die Visumanträge keine Zweifel hat, dass der Beschwerdeführer die Gesuchstellerinnen bei sich zu einem Besuchsaufenthalt empfangen will. Der rechtserhebliche Sachverhalt wurde im Übrigen richtig und vollständig festgestellt und die Vorinstanz hat das ihr zustehende Ermessen pflichtgemäss und zutreffend gehandhabt (Art. 49 VwVG). Die Beschwerde ist demzufolge abzuweisen.</w:t>
      </w:r>
    </w:p>
    <w:p>
      <w:r>
        <w:rPr>
          <w:b/>
        </w:rPr>
        <w:t>E. 7</w:t>
      </w:r>
    </w:p>
    <w:p>
      <w:r>
        <w:t>Bei diesem Ausgang des Verfahrens sind dem Beschwerdeführer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