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C-829/2016 vom 23. August 2017</w:t>
      </w:r>
    </w:p>
    <w:p>
      <w:r>
        <w:t>Bundesverwaltungsgericht, 2017-08-23, DE</w:t>
      </w:r>
    </w:p>
    <w:p>
      <w:r>
        <w:rPr>
          <w:b/>
        </w:rPr>
        <w:t xml:space="preserve">Quelle: </w:t>
      </w:r>
      <w:r>
        <w:t>https://mcp.opencaselaw.ch/entscheid/bvger_C-829_2016</w:t>
      </w:r>
    </w:p>
    <w:p>
      <w:r>
        <w:t>FR: TAF C-829/2016 du 23 août 2017</w:t>
      </w:r>
    </w:p>
    <w:p>
      <w:r>
        <w:t>IT: TAF C-829/2016 del 23 agosto 2017</w:t>
      </w:r>
    </w:p>
    <w:p>
      <w:pPr>
        <w:pStyle w:val="Heading2"/>
      </w:pPr>
      <w:r>
        <w:t>Regeste</w:t>
      </w:r>
    </w:p>
    <w:p>
      <w:r>
        <w:t>Rentenanspruch</w:t>
      </w:r>
    </w:p>
    <w:p>
      <w:pPr>
        <w:pStyle w:val="Heading2"/>
      </w:pPr>
      <w:r>
        <w:t>Erwägungen</w:t>
      </w:r>
    </w:p>
    <w:p>
      <w:r>
        <w:rPr>
          <w:b/>
        </w:rPr>
        <w:t>E. 1</w:t>
      </w:r>
    </w:p>
    <w:p>
      <w:r>
        <w:t>Gemäss Art. 31 VGG (SR 173.32) in Verbindung mit Art. 33 Bst. d VGG und Art. 69 Abs. 1 Bst. b IVG (SR 831.20) ist das Bundesverwaltungsgericht zur Beurteilung der vorliegenden Beschwerde zuständig.</w:t>
      </w:r>
    </w:p>
    <w:p>
      <w:r>
        <w:rPr>
          <w:b/>
        </w:rPr>
        <w:t>E. 1.1</w:t>
      </w:r>
    </w:p>
    <w:p>
      <w:r>
        <w:t>Das Verfahren vor dem Bundesverwaltungsgericht richtet sich grundsätzlich nach dem VwVG (SR 172.021 [Art. 37 VGG]). Vorbehalten bleiben gemäss Art. 3 Bst. dbis VwVG die besonderen Bestimmungen des ATSG (SR 830.1).</w:t>
      </w:r>
    </w:p>
    <w:p>
      <w:r>
        <w:rPr>
          <w:b/>
        </w:rPr>
        <w:t>E. 1.2</w:t>
      </w:r>
    </w:p>
    <w:p>
      <w:r>
        <w:t>Als direkter Adressat ist der Beschwerdeführer von der angefochtenen Verfügung berührt und er kann sich auf ein schutzwürdiges Interesse an deren Aufhebung oder Änderung berufen (vgl. Art. 59 ATSG, Art. 48 Abs. 1 VwVG).</w:t>
      </w:r>
    </w:p>
    <w:p>
      <w:r>
        <w:rPr>
          <w:b/>
        </w:rPr>
        <w:t>E. 1.3</w:t>
      </w:r>
    </w:p>
    <w:p>
      <w:r>
        <w:t>Angefochten ist eine Verfügung, mit welcher die Vorinstanz auf eine Neuanmeldung nicht eingetreten ist. Da der Streitgegenstand durch den Anfechtungsgegenstand begrenzt wird (vgl. BGE 131 V 164 E. 2.1; 125 V 413 E. 1), hat das Bundesverwaltungsgericht lediglich zu prüfen, ob die Vorinstanz zu Recht nicht auf das neue Leistungsbegehren eingetreten ist. Auf die darüber hinausgehenden Rechtsbegehren ist demnach nicht einzutreten (vgl. BGE 132 V 74 E. 1.1; Urteil BGer 9C_520/2016 vom 27. Oktober 2016 E. 1).</w:t>
      </w:r>
    </w:p>
    <w:p>
      <w:r>
        <w:rPr>
          <w:b/>
        </w:rPr>
        <w:t>E. 1.4</w:t>
      </w:r>
    </w:p>
    <w:p>
      <w:r>
        <w:t>Im Übrigen ist auf die frist- und formgerecht eingereichte Beschwerde (vgl. Art. 38 ff. und Art. 60 ATSG, Art. 52 Abs. 1 VwVG), nachdem auch der Kostenvorschuss rechtzeitig geleistet wurde, einzutreten.</w:t>
      </w:r>
    </w:p>
    <w:p>
      <w:r>
        <w:rPr>
          <w:b/>
        </w:rPr>
        <w:t>E. 2.1</w:t>
      </w:r>
    </w:p>
    <w:p>
      <w:r>
        <w:t>Wurde eine Rente wegen eines zu geringen Invaliditätsgrades verweigert, so wird eine neue Anmeldung nur geprüft, wenn darin glaubhaft gemacht wird, dass sich der Grad der Invalidität in einer für den Anspruch erheblichen Weise geändert hat (Art. 87 Abs. 3 i.V.m. Abs. 2 IVV [SR 831.201]). Die zeitliche Vergleichsbasis für die Frage, ob eine rentenrelevante Veränderung des Sachverhalts glaubhaft ist, bildet der Zeitpunkt der letzten umfassenden materiellen Prüfung. Der Vergleichszeitraum erstreckt sich grundsätzlich bis zur Prüfung und Beurteilung des Gesuchs, d.h. bis zum Erlass der Verfügung betreffend die Neuanmeldung. Für die beschwerdeweise Überprüfung einer Nichteintretensverfügung ist somit der Sachverhalt, wie er sich der Verwaltung bot, respektive die Aktenlage bei Erlass dieser Verfügung massgeblich (BGE 130 V 64 E. 5.2.5; Urteile BGer 8C_315/2016 vom 20. Juni 2016 E. 2.2 und 9C_635/2015 vom 16. Oktober 2015 E. 2.1; vgl. auch BGE 133 V 108 E. 5.4).</w:t>
      </w:r>
    </w:p>
    <w:p>
      <w:r>
        <w:rPr>
          <w:b/>
        </w:rPr>
        <w:t>E. 2.1.1</w:t>
      </w:r>
    </w:p>
    <w:p>
      <w:r>
        <w:t>Die genannte Eintretensvoraussetzung soll verhindern, dass sich die Verwaltung immer wieder mit gleichlautenden und nicht näher begründeten Rentengesuchen befassen muss (BGE 133 V 108 E. 5.3.1 mit Hinweisen). Art. 87 Abs. 3 IVV beruht auf dem Grundgedanken, dass die Rechtskraft der früheren Verfügung einer neuen Prüfung so lange entgegensteht, als der seinerzeit beurteilte Sachverhalt sich in der Zwischenzeit nicht verändert hat. Um zu verhindern, dass sich die Verwaltung mit keine Veränderung des Sachverhaltes darlegenden Rentengesuchen befassen muss, ist sie nach Eingang einer Neuanmeldung demnach zunächst zur Prüfung verpflichtet, ob die Vorbringen der versicherten Person überhaupt glaubhaft sind; verneint sie dies, so erledigt sie das Gesuch ohne weitere Abklärungen durch Nichteintreten. Dabei wird sie u.a. berücksichtigen, ob die frühere Verfügung nur kurze oder schon längere Zeit zurückliegt, und dementsprechend an die Glaubhaftmachung höhere oder weniger hohe Anforderungen stellen (BGE 109 V 262 E. 3; SVR 2011 IV Nr. 2 [9C_904/2009] E. 3.2 mit Hinweisen; Urteil BGer 8C_401/2016 vom 29. Juni 2016 E. 3.1). Insofern steht der IV-Stelle ein gewisser Beurteilungsspielraum zu, den das Gericht zu respektieren hat (BGE 109 V 262 E. 3; 109 V 108 E. 2b; Meyer/ Reichmuth, Rechtsprechung des Bundesgerichts zum IVG, 3. Aufl. 2010, Art. 30-31, Rz. 119). Gelingt der versicherten Person die Glaubhaftmachung nicht, so wird auf das Gesuch nicht eingetreten. Ist die anspruchserhebliche Änderung glaubhaft gemacht, ist die Verwaltung verpflichtet, auf das neue Leistungsbegehren einzutreten und es in tatsächlicher und rechtlicher Hinsicht umfassend zu prüfen (vgl. BGE 117 V 198 E. 4b; Urteil BGer 9C_523/2014 vom 19. November 2014 E. 2).</w:t>
      </w:r>
    </w:p>
    <w:p>
      <w:r>
        <w:rPr>
          <w:b/>
        </w:rPr>
        <w:t>E. 2.1.2</w:t>
      </w:r>
    </w:p>
    <w:p>
      <w:r>
        <w:t>Mit dem Beweismass des Glaubhaftmachens sind herabgesetzte Anforderungen an den Beweis verbunden; die Tatsachenänderung muss also nicht nach dem im Sozialversicherungsrecht sonst üblichen Grad der überwiegenden Wahrscheinlichkeit (BGE 126 V 353 E. 5b) erstellt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(9C_523/2014 E. 2 mit Hinweisen).</w:t>
      </w:r>
    </w:p>
    <w:p>
      <w:r>
        <w:rPr>
          <w:b/>
        </w:rPr>
        <w:t>E. 2.2</w:t>
      </w:r>
    </w:p>
    <w:p>
      <w:r>
        <w:t>Gemäss Art. 29 Abs. 2 BV haben die Parteien Anspruch auf rechtliches Gehör (vgl. auch Art. 42 ATSG; Art. 29 VwVG).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2.2.1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 Die Anforderungen an die Begründung sind umso höher, je grösser der Entscheidungsspielraum der Behörde ist (BGE 142 II 324 E. 3.6 mit Hinweisen).</w:t>
      </w:r>
    </w:p>
    <w:p>
      <w:r>
        <w:rPr>
          <w:b/>
        </w:rPr>
        <w:t>E. 2.2.2</w:t>
      </w:r>
    </w:p>
    <w:p>
      <w:r>
        <w:t>Das Recht, angehört zu werden, ist formeller Natur. Die Verletzung des Anspruchs auf rechtliches Gehör führt ungeachtet der Erfolgsaussichten der Beschwerde in der Sache selbst grundsätzlich zur Aufhebung der angefochtenen Verfügung. Es kommt mit anderen Worten nicht darauf an, ob die Anhörung im konkreten Fall für den Ausgang der materiellen Streitentscheidung von Bedeutung ist, d.h. die Behörde zu einer Änderung ihres Entscheides veranlasst wird oder nicht (BGE 132 V 387 E. 5.1; 127 V 431 E. 3d/aa).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135 I 279 E. 2.6.1).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136 V 117 E. 4.2.2.2 mit Hinweisen; Urteil BGer 8C_327/2015 vom 8. September 2015 E. 4.2).</w:t>
      </w:r>
    </w:p>
    <w:p>
      <w:r>
        <w:rPr>
          <w:b/>
        </w:rPr>
        <w:t>E. 2.3</w:t>
      </w:r>
    </w:p>
    <w:p>
      <w:r>
        <w:t>Art. 46 ATSG verpflichtet den Versicherungsträger zu einer systematischen Aktenführung, wobei für jedes Sozialversicherungsverfahren alle Unterlagen, die massgeblich sein können, systematisch zu erfassen sind.</w:t>
      </w:r>
    </w:p>
    <w:p>
      <w:r>
        <w:rPr>
          <w:b/>
        </w:rPr>
        <w:t>E. 2.3.1</w:t>
      </w:r>
    </w:p>
    <w:p>
      <w:r>
        <w:t>Nach der Rechtsprechung bildet die Aktenführungspflicht von Verwaltung und Behörden das Gegenstück zum (aus Art. 29 Abs. 2 BV fliessenden) Akteneinsichts- und Beweisführungsrecht, indem die Wahrnehmung des Akteneinsichtsrechts durch die versicherte Person eine Aktenführungspflicht der Verwaltung voraussetzt (BGE 138 V 218 E. 8.1.2; 130 II 473 E. 4.1; 124 V 372 E. 3b; 124 V 389 E. 3a). Zudem ergibt sich die Pflicht zur sorgfältigen Aktenführung auch aus dem Untersuchungsgrundsatz (vgl. Art. 43 Abs. 1 ATSG; SVR 2011 IV Nr. 44 [BGer 8C_319/2010] E. 2.2.2; Urteil BVGer C-6549/2014 vom 22. Juni 2016 E. 5.2.2 m.w.H.).</w:t>
      </w:r>
    </w:p>
    <w:p>
      <w:r>
        <w:rPr>
          <w:b/>
        </w:rPr>
        <w:t>E. 2.3.2</w:t>
      </w:r>
    </w:p>
    <w:p>
      <w:r>
        <w:t>Die Behörde ist verpflichtet, ein vollständiges Aktendossier über das Verfahren zu führen, um gegebenenfalls ordnungsgemäss Akteneinsicht gewähren und bei einem Weiterzug diese Unterlagen an die Rechtsmittelinstanz weiterleiten zu können. Die Behörde hat alles in den Akten festzuhalten, was zur Sache gehört (BGE 124 V 372 E. 3b; 115 Ia 97 E. 4c). Der verfassungsmässige Anspruch auf eine geordnete und übersichtliche Aktenführung verpflichtet die Behörden und Gerichte, die Vollständigkeit der im Verfahren eingebrachten und erstellten Akten sicherzustellen (SVR 2011 IV Nr. 44 [8C_319/2010] E. 2.2.1; Urteil BGer 5A_341/2009 vom 30. Juni 2009 E. 5.2). Für die dem ATSG unterstellten Versicherer wurde in Art. 46 ATSG die Aktenführungspflicht auf Gesetzesstufe konkretisiert (zum Ganzen: BGE 138 V 218 E. 8.1.2). Weiter sind nach der Rechtsprechung die Unterlagen von Beginn weg in chronologischer Reihenfolge abzulegen; bei Vorliegen eines Gesuchs um Akteneinsicht und spätestens im Zeitpunkt des Entscheids ist das Dossier zudem durchgehend zu paginieren (8C_319/2010 E. 2.2.2). In der Regel ist auch ein Aktenverzeichnis zu erstellen, welches eine chronologische Auflistung sämtlicher in einem Verfahren gemachter Eingaben enthält (Urteil BGer 2C_327/2010 vom 19. Mai 2011 E. 3.2 [nicht publiziert in BGE 137 I 247]; 8C_319/2010 E. 2.2.2; Urteil BGer 8C_616/2013 vom 28. Januar 2014 E. 2.1).</w:t>
      </w:r>
    </w:p>
    <w:p>
      <w:r>
        <w:rPr>
          <w:b/>
        </w:rPr>
        <w:t>E. 2.3.3</w:t>
      </w:r>
    </w:p>
    <w:p>
      <w:r>
        <w:t>Das Aktenverzeichnis besteht im Detail aus einer Laufnummer, der Anzahl Seiten jedes erfassten Dokumentes, dem Eingangsdatum des Dokumentes, einer Dokumenten-ID sowie einer kurzen Beschreibung der Dokumentart oder dessen Inhalts (8C_319/2010 E. 2.2.2 mit Hinweis). Beschränken sich die Kurzbeschreibungen der einzelnen Dokumente auf deren Inhalt nur rudimentär wiedergebende Formulierungen (wie "IVS Mahnung", "IVS Arztbericht", "IVS Korrespondenz", "IVS Anfragen an Dritte/vP" etc.) wird das Akteneinsichtsrecht zwar erschwert, aber nicht verunmöglicht. Ein in diesem Sinne mangelhaftes Aktenverzeichnis bewirkt keine nicht heilbare Verletzung des rechtlichen Gehörs (8C_319/2010 E. 2.3.1).</w:t>
      </w:r>
    </w:p>
    <w:p>
      <w:r>
        <w:rPr>
          <w:b/>
        </w:rPr>
        <w:t>E. 3.1</w:t>
      </w:r>
    </w:p>
    <w:p>
      <w:r>
        <w:t>Mit seiner Eingabe vom 4. November 2014 (IV-act. 253), mit welcher der Beschwerdeführer eine Verschlechterung des Gesundheitszustandes geltend machte, wurden - gemäss Beweismittelverzeichnis und Angaben auf S. 5 - folgende Berichte eingereicht: "Medizinischer Bericht, Dr. E.________" vom 20. Dezember 2013; "Subspezialisierter Bericht, Dr. F.________" vom 9. Dezember 2013; "Bericht des Spezialisten, Dr. G.________" vom 2. Dezember 2013; "Bericht des Spezialisten, Dr. med. H.________" vom 3. Dezember 2013; "Bericht des Spezialisten, Dr. med. I.________" vom 18. Dezember 2013 und "Bericht des Spezialisten, Dr. med. K.________" vom 5. Dezember 2013. Mit dem gleichen Eingangsdatum vom 6. November 2014 in den Akten erfasst (von wem ein Dokument eingereicht wurde, geht aus dem Aktenverzeichnis regelmässig nicht hervor, obwohl Beilagen separat aufgenommen werden) wurden aber nur die Berichte von Dr. E.________ (IV-act. 254) und Dr. K.________ (IV-act. 255). Anschliessend folgt die Eingangsbestätigung vom 13. November 2013 (IV-act. 256, wobei das Dokument im Aktenverzeichnis als "Rapport méd - examen - E213" bezeichnet ist). Sodann bestätigte die Vorinstanz in ihrem Schreiben vom 30. Dezember 2014, mit welchem sie den Beschwerdeführer für eine Anmeldung an den heimatlichen Versicherungsträger verwies, dass die bereits eingereichten medizinischen Unterlagen im Dossier blieben (IV-act. 259). Weder in diesem Schreiben noch in der Anmeldebestätigung wird festgehalten, es seien nicht alle aufgeführten Berichte eingegangen. Der Bericht von Dr. F.________ (IV-act. 218) befindet sich bei den zahlreichen, mit Eingangsdatum vom 25. Juni 2011 erfassten Akten (Datum der Beschwerde an das Sozialversicherungsgericht des Kantons Zürich, vgl. Sachverhalt A.b und und IV-act. 197). Gleiches gilt für die Berichte von Dr. G.________ (IV-act. 219), Dr. I.________ (IV-act. 221) und - vermutlich - von Dr. H.________, wobei dieser vom 18. und nicht vom 3. Dezember 2013 datiert (vgl. IV-act. 220 sowie IV-act. 273). Der als IV-act. 219 abgelegte Bericht von Dr. G.________ ist ausführlicher als das unter der Nummer 274 erfasste Attest vom 18. November 2013, welches vermutlich ebenfalls von Dr. G.________ stammt (der Nachname ist unlesbar). Zudem wird auf eine Beilage ("MR der lumbalen Wirbelsäule") verwiesen, die sich - soweit ersichtlich - aber nicht in den Akten befindet.</w:t>
      </w:r>
    </w:p>
    <w:p>
      <w:r>
        <w:rPr>
          <w:b/>
        </w:rPr>
        <w:t>E. 3.2</w:t>
      </w:r>
    </w:p>
    <w:p>
      <w:r>
        <w:t>Welche Berichte die Verwaltung dem RAD zur Beurteilung vorgelegt hat, lässt sich nicht feststellen. Die aufgeführten Dokumente werden entweder als "Rapport méd - examen - E213", "Examen Special" oder "Document à traduire", einem Datum sowie Seitenzahl aufgeführt. Nur drei Dokumente datieren im Jahr 2013. Auch werden im RAD-Bericht die medizinischen Berichte, welche der Stellungnahme zugrunde gelegt wurden, nicht aufgeführt. Weil die Verwaltung es vorliegend dem RAD überlassen hat zu beurteilen, ob eine wesentliche Veränderung des Invaliditätsgrades glaubhaft gemacht worden sei (vgl. dazu nachfolgend E. 3.3.1), bleibt unklar, auf welche Grundlagen sich die streitige Nichteintretensverfügung stützt. Insbesondere kann angesichts der mangelhaften Aktenführung und der unzureichenden Begründung der RAD-Stellungnahme (vgl. auch nachfolgend E. 3.3.2) nicht ohne Weiteres davon ausgegangen werden, dass die vom Beschwerdeführer eingereichten Beweismittel überhaupt berücksichtigt worden sind. Es ist daher auf eine schwerwiegende Gehörsverletzung zu erkennen, die im Beschwerdeverfahren nicht geheilt werden kann, zumal der Vorinstanz bei der Prüfung der Eintretensfrage ein Beurteilungsspielraum zuzugestehen ist.</w:t>
      </w:r>
    </w:p>
    <w:p>
      <w:r>
        <w:rPr>
          <w:b/>
        </w:rPr>
        <w:t>E. 3.3</w:t>
      </w:r>
    </w:p>
    <w:p>
      <w:r>
        <w:t>Gemäss Art. 59 Abs. 2bis IVG stehen die RAD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(vgl. auch Art. 49 Abs. 1 IVV). Zudem stehen sie den IV-Stellen der Region beratend zur Verfügung (Art. 49 Abs. 3 IVV).</w:t>
      </w:r>
    </w:p>
    <w:p>
      <w:r>
        <w:rPr>
          <w:b/>
        </w:rPr>
        <w:t>E. 3.3.1</w:t>
      </w:r>
    </w:p>
    <w:p>
      <w:r>
        <w:t>In einem Neuanmeldungsverfahren kann der RAD von der IV-Stelle beigezogen werden, um die Frage zu beantworten, ob die medizinischen Unterlagen Anhaltspunkte für eine wesentliche Veränderung des Gesundheitszustandes bzw. der funktionellen Leistungsfähigkeit enthalten. Ob das Beweismass der Glaubhaftmachung erreicht ist, hat jedoch nicht der RAD, sondern die Verwaltung als rechtsanwendende Behörde zu entscheiden. Dabei wäre vorliegend auch zu berücksichtigen gewesen, dass der Einspracheentscheid betreffend Rentenaufhebung im Mai 2006 erlassen wurde und die letzte materielle Prüfung des Leistungsanspruchs beinahe zehn Jahre zurücklag, weshalb nach der Rechtsprechung weniger hohe Anforderungen an die Glaubhaftmachung zu stellen sind (vgl. oben E. 2.1.1).</w:t>
      </w:r>
    </w:p>
    <w:p>
      <w:r>
        <w:rPr>
          <w:b/>
        </w:rPr>
        <w:t>E. 3.3.2</w:t>
      </w:r>
    </w:p>
    <w:p>
      <w:r>
        <w:t>Wie bereits festgestellt, geht aus der RAD-Stellungnahme vom 30. Juni 2015 nicht hervor, welche medizinischen Berichte gewürdigt wurden (IV-act. 280; in seiner zweiten Stellungnahme nimmt der RAD-Arzt nur zu den vorgebrachten Einwänden Stellung [vgl. IV-act. 287]). Im Übrigen ist die Beurteilung auch sehr pauschal und rudimentär begründet. Auf die von den behandelnden Ärzten gestellten Diagnosen wird nicht eingegangen. Es wird lediglich festgehalten, die geschilderten Beschwerden und die Befunde seien in etwa gleich wie damals in den Jahren 2005 und 2006. Nicht nachvollziehbar sind aber insbesondere die Feststellungen, die Aktenlage sei "vollständig" und der Schmerzausdruck des Exploranden sei "auch heute noch" sehr aggravierend. Es trifft zwar zu, dass im rheumatologischen Teilgutachen des MZR von einer bewusstseinsnahen demonstrativen Schmerzpräsentation ausgegangen wurde (IV-act. 100 S. 14) und Dr. C.________ diese Einschätzung in seinem Gutachten vom 14. Februar 2006 bestätigte (IV-act. 149 S. 6). Allein damit lässt sich jedoch nicht begründen, dass dies auch heute noch zutreffen soll. Die Frage, ob die Akten ein vollständiges Bild über den aktuellen Gesundheitszustand geben - was vorliegend kaum bejaht werden könnte - stellt sich im Neuanmeldungsverfahren erst dann, wenn die Verwaltung auf das neue Leistungsbegehren eingetreten ist und den Sachverhalt abgeklärt hat.</w:t>
      </w:r>
    </w:p>
    <w:p>
      <w:r>
        <w:rPr>
          <w:b/>
        </w:rPr>
        <w:t>E. 3.4</w:t>
      </w:r>
    </w:p>
    <w:p>
      <w:r>
        <w:t>Zusammenfassend ergibt sich, dass die angefochtene Verfügung aus formellen Gründen (Verletzung des Anspruchs auf rechtliches Gehör zufolge mangelhafter Aktenführung und unzureichender Begründung) aufzuheben ist. Die Sache ist an die Vorinstanz zurückzuweisen, damit sie ihre Akten ordnungsgemäss aufbereite und anschliessend - allenfalls unter Beizug des RAD - erneut darüber entscheide, ob eine anspruchserhebliche Änderung im Sinne von Art. 87 Abs. 3 IVV glaubhaft gemacht wurde. In diesem Sinne ist die Beschwerde gutzuheissen, soweit darauf einzutreten ist.</w:t>
      </w:r>
    </w:p>
    <w:p>
      <w:r>
        <w:rPr>
          <w:b/>
        </w:rPr>
        <w:t>E. 4</w:t>
      </w:r>
    </w:p>
    <w:p>
      <w:r>
        <w:t>Zu befinden bleibt noch über die Verfahrenskosten und eine allfällige Parteientschädigung.</w:t>
      </w:r>
    </w:p>
    <w:p>
      <w:r>
        <w:rPr>
          <w:b/>
        </w:rPr>
        <w:t>E. 4.1</w:t>
      </w:r>
    </w:p>
    <w:p>
      <w:r>
        <w:t>Gemäss Art. 63 Abs. 1 VwVG sind die Verfahrenskosten in der Regel der unterliegenden Partei aufzuerlegen. Demnach ist der Beschwerdeführer nicht kostenpflichtig und der geleistete Kostenvorschuss von CHF 400.- ist ihm nach Eintritt der Rechtskraft des vorliegenden Urteils zurückzuerstatten. Von der Vorinstanz werden keine Verfahrenskosten erhoben (vgl. Art. 63 Abs. 2 VwVG).</w:t>
      </w:r>
    </w:p>
    <w:p>
      <w:r>
        <w:rPr>
          <w:b/>
        </w:rPr>
        <w:t>E. 4.2</w:t>
      </w:r>
    </w:p>
    <w:p>
      <w:r>
        <w:t>Der obsiegende und nichtanwaltlich vertretene Beschwerdeführer hat gemäss Art. 64 Abs. 1 VwVG in Verbindung mit Art. 7 ff.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(vgl. Art. 14 Abs. 2 VGKE). Zu berücksichtigen ist namentlich der gebotene und aktenkundige Aufwand, die Bedeutung der Streitsache und die Schwierigkeit des zu beurteilenden Verfahrens sowie die in vergleichbaren Fällen gesprochenen Entschädigungen. Dabei ist von einem Stundenansatz für nichtanwaltliche Vertreter und Vertreterinnen von mindestens CHF 100.- und höchstens CHF 300.- auszugehen (Art. 9 Abs. 1 i.V.m. Art. 10 Abs. 2 VGKE). Für im Ausland wohnende Personen, welche die Dienste eines in der Schweiz ansässigen Rechtsvertreters in Anspruch nehmen, ist keine Mehrwertsteuer geschuldet (vgl. Art. 1 Abs. 2 Bst. a MWSTG [SR 641.20] i.V.m. Art. 8 Abs. 1 MWSTG und Art. 9 Abs. 1 Bst. c VGKE). Da sich im vorliegenden Verfahren keine komplexen rechtlichen Fragen stellten und sich der Streitgegenstand auf die Eintretensfrage im Rahmen der Neuanmeldung beschränkte, erscheint eine Parteientschädigung von pauschal CHF 700.-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