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C-8297/2007 vom 25. Juni 2009</w:t>
      </w:r>
    </w:p>
    <w:p>
      <w:r>
        <w:t>Bundesverwaltungsgericht, 2009-06-25, DE</w:t>
      </w:r>
    </w:p>
    <w:p>
      <w:r>
        <w:rPr>
          <w:b/>
        </w:rPr>
        <w:t xml:space="preserve">Quelle: </w:t>
      </w:r>
      <w:r>
        <w:t>https://mcp.opencaselaw.ch/entscheid/bvger_C-8297_2007</w:t>
      </w:r>
    </w:p>
    <w:p>
      <w:r>
        <w:t>FR: TAF C-8297/2007 du 25 juin 2009</w:t>
      </w:r>
    </w:p>
    <w:p>
      <w:r>
        <w:t>IT: TAF C-8297/2007 del 25 giugno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(Art. 83 Bst. c Ziff. 4 des Bundesgerichtsgesetzes vom 17. Juni 2005 [BGG, SR 173.110]).</w:t>
      </w:r>
    </w:p>
    <w:p>
      <w:r>
        <w:rPr>
          <w:b/>
        </w:rPr>
        <w:t>E. 1.2</w:t>
      </w:r>
    </w:p>
    <w:p>
      <w:r>
        <w:t>Der Beschwerdeführer ist als Verfügungsadressat aufgrund von Art. 48 Abs. 1 VwVG zur Anfechtung der Verfügung legitimiert. Auf die frist- und formgerecht eingereichte Beschwerde ist somit einzutreten (Art. 49 ff. VwVG).</w:t>
      </w:r>
    </w:p>
    <w:p>
      <w:r>
        <w:rPr>
          <w:b/>
        </w:rPr>
        <w:t>E. 2.1</w:t>
      </w:r>
    </w:p>
    <w:p>
      <w:r>
        <w:t>Mit Inkrafttreten des Bundesgesetzes vom 16. Dezember 2005 über die Ausländerinnen und Ausländer (AuG, SR 142.20) am 1. Januar 2008 wurde das Bundesgesetz vom 26. März 1931 über Aufenthalt und Niederlassung der Ausländer (ANAG, BS 1 121) aufgehoben (Art. 125 i.V.m. Anhang 2 AuG). Das bisherige Recht bleibt jedoch auf Verfahren anwendbar, die vor dem Inkrafttreten des AuG eingeleitet wurden (Art. 126 Abs. 1 AuG; vgl. dazu BVGE 2008/1 E.2 mit weiteren Hinweisen).</w:t>
      </w:r>
    </w:p>
    <w:p>
      <w:r>
        <w:rPr>
          <w:b/>
        </w:rPr>
        <w:t>E. 2.2</w:t>
      </w:r>
    </w:p>
    <w:p>
      <w:r>
        <w:t>Gemäss der Übergangsbestimmung von Art. 126 Abs. 2 AuG ist auf Gesuche, welche vor Inkrafttreten des AuG am 1. Januar 2008 eingereicht wurden, das neue Verfahrensrecht anwendbar. Sofern das VGG nichts anderes bestimmt, richtet sich das Verfahren vor dem Bundesverwaltungsgericht nach dem VwVG (Art. 37 VGG).</w:t>
      </w:r>
    </w:p>
    <w:p>
      <w:r>
        <w:rPr>
          <w:b/>
        </w:rPr>
        <w:t>E. 3.1</w:t>
      </w:r>
    </w:p>
    <w:p>
      <w:r>
        <w:t>Nach Art. 12 Abs. 3 ANAG kann die eidgenössische Behörde die Pflicht zur Ausreise aus einem Kanton auf die ganze Schweiz ausdehnen. Art. 17 Abs. 2 der Vollziehungsverordnung vom 1. März 1949 zum Bundesgesetz über Aufenthalt und Niederlassung der Ausländer (ANAV, AS 1949 228) präzisiert diese Norm, indem die Ausdehnung zur Regel erklärt wird, von der nur abzuweichen ist, wenn dem Ausländer aus besonderen Gründen Gelegenheit geboten werden soll, in einem anderen Kanton um eine Bewilligung nachzusuchen. Die Ausdehnung ist somit nur noch der konsequente Vollzug eines rechtskräftigen Entscheides und wird daher nur in Ausnahmefällen unterbleiben (vgl. statt vieler das Urteil des Bundesverwaltungsgerichtes C-604/2006 vom 15. August 2007 E. 2.1 mit weiteren Hinweisen).</w:t>
      </w:r>
    </w:p>
    <w:p>
      <w:r>
        <w:rPr>
          <w:b/>
        </w:rPr>
        <w:t>E. 3.2</w:t>
      </w:r>
    </w:p>
    <w:p>
      <w:r>
        <w:t>Zum Verständnis dieser Regelung ist vorweg auf Art. 1a ANAG hinzuweisen. Danach ist ein Ausländer dann zur Anwesenheit in der Schweiz berechtigt, wenn er über eine Aufenthalts- oder Niederlassungsbewilligung verfügt oder nach dem Gesetz keiner solchen bedarf (zu letzterem vgl. Art. 2 ANAG und Art. 1 ANAV). Besitzt er keine Bewilligung und kann er sich auch nicht auf ein gesetzliches Bleiberecht berufen, ist sein Aufenthalt illegal, und er ist von Gesetzes wegen verpflichtet, die Schweiz zu verlassen (Art. 12 und Art. 18 ANAG, vgl. auch (vgl.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(ANDREAS ZÜND, Beendigung der Anwesenheit, Entfernung und Fernhaltung in: Peter Uebersax/Peter Münch/Thomas Geiser/Martin Arnold [Hrsg.], Ausländerrecht, Handbücher für die Anwaltspraxis Bd. VIII, Basel 2002, Rz. 6.53 mit Hinweisen). Zugleich ist die Wegweisung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 14a ANAG, dazu weiter unten; vgl. ferner WISARD, a.a.O., S. 103).</w:t>
      </w:r>
    </w:p>
    <w:p>
      <w:r>
        <w:rPr>
          <w:b/>
        </w:rPr>
        <w:t>E. 3.3</w:t>
      </w:r>
    </w:p>
    <w:p>
      <w:r>
        <w:t>Das Gesagte gilt grundsätzlich auch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 14a ANAG).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(Art. 18 ANAG; vorbehalten bleiben das Asylrecht, das hier nicht Bedeutung ist, sowie die vorläufige Aufnahme, dazu weiter hinten).</w:t>
      </w:r>
    </w:p>
    <w:p>
      <w:r>
        <w:rPr>
          <w:b/>
        </w:rPr>
        <w:t>E. 3.4</w:t>
      </w:r>
    </w:p>
    <w:p>
      <w:r>
        <w:t>Vor diesem Hintergrund ist auch die Regelung des Art. 17 Abs.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Aufenthaltes nichts ändert, und es auf der anderen Seite nicht angeht, einen rechtswidrigen Zustand in Kauf zu nehmen, wird Art. 17 Abs. 2 ANAV praxisgemäss in dem Sinne ausgelegt, dass von einer Ausdehnung Abstand genommen wird, wenn in einem Drittkanton ein Bewilligungsverfahren hängig ist, und der Drittkanton der ausländischen Person den Aufenthalt während des Verfahrens gestattet. Eine analoge Regelung gegenüber dem wegweisenden Kanton ist nicht notwendig. Denn da die Ausdehnung gegenüber der kantonalen Wegweisung akzessorisch ist, sie also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4.1</w:t>
      </w:r>
    </w:p>
    <w:p>
      <w:r>
        <w:t>Der Beschwerdeführer besitzt nach dem vom Migrationsamt am 30. Juli 2007 verfügten und in Rechtskraft erwachsenen Widerruf der Aufenthaltsbewilligung keinen Rechtstitel, der ihm den weiteren rechtmässigen Verbleib in der Schweiz ermöglichen würde. Es wird in der Beschwerde sodann nicht geltend gemacht, dass ein anderer Kanton bereit wäre, den Aufenthalt des Beschwerdeführers zu regeln. Daher besteht kein Spielraum, um vom Grundsatz der Ausdehnung der kantonalen Wegweisung auf die ganze Schweiz abzuweichen. Das hat zur Folge, dass im vorliegenden Verfahren keine Argumente mehr vorgebracht werden können, die das rechtskräftig abgeschlossene Aufenthaltsverfahren betreffen, bzw. dort hätten geltend gemacht werden müssen.</w:t>
      </w:r>
    </w:p>
    <w:p>
      <w:r>
        <w:rPr>
          <w:b/>
        </w:rPr>
        <w:t>E. 4.2</w:t>
      </w:r>
    </w:p>
    <w:p>
      <w:r>
        <w:t>Die beschwerdeweise geltend gemachten veränderten Sachumstände - der Beschwerdeführer lebe wieder mit seiner Ehefrau zusammen und das Migrationsamt des Kantons Zürich habe gestützt darauf offenbar seine Widerrufs- und Wegweisungsverfügung vom 30. Juli 2007 in Wiedererwägung gezogen, weshalb er anfangs November von der Fremdenkontrolle seiner Wohngemeinde ein Formular betr. Verfallsanzeige und Verlängerungsgesuch zur Aufenthaltsbewilligung erhalten habe - sind weder nachvollziehbar noch glaubhaft. Der Beschwerdeführer wurde am 30. November 2007 im Rahmen seines Verfahrens um Erteilung einer Kurzaufenthaltsbewilligung vom Migrationsamt explizit nochmals darauf hingewiesen, dass eine rechtskräftige Wegweisung aus dem Kantonsgebiet bestehe, die in der Zwischenzeit (unter Entzug der aufschiebenden Wirkung einer allfälligen Beschwerde) auf die ganze Schweiz ausgedehnt worden sei und die es entsprechend zu beachten gelte (vgl. auch die Ausführungen in der Zwischenverfügung des Bundesverwaltungsgerichts vom 18. Dezember 2007). Die Ausdehnung der kantonalen Wegweisung auf die ganze Schweiz ist somit unter Berücksichtigung dieses Gesichtspunktes nicht zu beanstanden.</w:t>
      </w:r>
    </w:p>
    <w:p>
      <w:r>
        <w:rPr>
          <w:b/>
        </w:rPr>
        <w:t>E. 5</w:t>
      </w:r>
    </w:p>
    <w:p>
      <w:r>
        <w:t>Unabhängig von der Bestätigung der Ausdehnungsverfügung bleibt zu prüfen, ob dem Vollzug der Wegweisung Hindernisse entgegenstehen (Art. 14a Abs. 2 - 4 ANAG) und das zuständige Bundesamt deshalb gestützt auf Art. 14a Abs. 1 ANAG die vorläufige Aufnahme hätte verfügen müssen. In diesem Zusammenhang gilt es darauf hinzuweisen, dass die vorläufige Aufnahme als Ersatzmassnahme für den undurchführbaren Vollzug der Wegweisung ausgestaltet ist. Sie tritt neben die Wegweisung, deren Bestand sie nicht tangiert, sondern vielmehr voraussetzt (BBl 1990 647; WALTER KÄLIN, Grundriss des Asylverfahrens, Basel/Frankfurt a. M. 1990, S. 200). Vollzugshindernisse können somit die Ausdehnungsverfügung als solche nicht in Frage stellen (Verwaltungspraxis der Bundesbehörden [VPB] 62.52).</w:t>
      </w:r>
    </w:p>
    <w:p>
      <w:r>
        <w:rPr>
          <w:b/>
        </w:rPr>
        <w:t>E. 6.1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darstellen würde (Art. 14a Abs. 2 - 4 ANAG).</w:t>
      </w:r>
    </w:p>
    <w:p>
      <w:r>
        <w:rPr>
          <w:b/>
        </w:rPr>
        <w:t>E. 6.2</w:t>
      </w:r>
    </w:p>
    <w:p>
      <w:r>
        <w:t>Der Beschwerdeführer macht in seiner Beschwerde geltend, er stamme aus dem kurdischen Osten der Türkei, wo die Lage von ethnischen Spannungen geprägt sei. Im Falle des Wegweisungsvollzugs sei er akut an Leib und Leben gefährdet. Seine "einzigen zuverlässigen" Verwandten und Bekannten würden hier in der Schweiz leben. Unter dem Gesichspunkt der Unzulässigkeit des Wegweisungsvollzugs (Art. 14a Abs. 3 ANAG) beruft sich der Beschwerdeführer zudem ausdrücklich auf Art. 3 der Konvention vom 4. November 1950 zum Schutze der Menschenrechte und Grundfreiheiten (EMRK, SR 0.101) und macht diesbezüglich geltend, er sei in seiner Heimat erheblicher Todesgefahr ausgesetzt.</w:t>
      </w:r>
    </w:p>
    <w:p>
      <w:r>
        <w:rPr>
          <w:b/>
        </w:rPr>
        <w:t>E. 6.3</w:t>
      </w:r>
    </w:p>
    <w:p>
      <w:r>
        <w:t>Dass einer Rückkehr des Beschwerdeführers keine technischen Hindernisse im Wege stehen, ist unbestritten. Aus den Akten ergeben sich auch keine Anhaltspunkte dafür, dass dem Beschwerdeführer mit beachtlicher Wahrscheinlichkeit eine nach Art. 3 EMRK verbotene Strafe oder Behandlung drohen würde. Gemäss Praxis der Strassburger Organe sowie jener des UN-Anti-Folterausschusses müsste der Beschwerdeführer in einer Konstellation wie der vorliegenden (der Betroffene hat nie ein Asylverfahren durchlaufen) eine konkrete Gefahr nachweisen oder glaubhaft machen, dass ihm im Falle einer Rückkehr Folter oder unmenschliche Behandlung drohten (siehe Urteile des Bundesverwaltungsgerichts C-644/2006 vom 26. Februar 2008 E. 7.1 oder D-3797/2006 vom 20. Juni 2007 E. 4.2). Der Beschwerdeführer bringt in diesem Zusammenhang lediglich vor, er sei vor Ort einer erheblichen Todesgefahr ausgesetzt. Das Vorbringen einer solch allgemein formulierten und in keiner Weise erläuterten blossen Behauptung genügt jedoch nicht, um die genannten Anforderungen zu erfüllen, weshalb der Wegweisungsvollzug als zulässig zu erachten ist.</w:t>
      </w:r>
    </w:p>
    <w:p>
      <w:r>
        <w:rPr>
          <w:b/>
        </w:rPr>
        <w:t>E. 6.4</w:t>
      </w:r>
    </w:p>
    <w:p>
      <w:r>
        <w:t>Des Weiteren macht der Beschwerdeführer das Bestehen einer konkreten Gefährdung im Sinne von Art. 14a Abs. 4 ANAG geltend. Diesbezüglich gilt es auszuführen, dass davon in erster Linie Gewaltflüchtlinge, das heisst Personen betroffen sind, welche Unruhen, Bürgerkiegssituationen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C-2799/2007 vom 26. Februar 2008 E. 6.1, C-7523/2006 vom 6. Dezember 2007 E. 7.3 [mit Hinweisen]). Die vom Beschwerdeführer unter dem Gesichtspunkt der Unzumutbarkeit des Wegweisungsvollzugs geltend gemachte konkrete Gefährdung an Leib und Leben wird replikweise dahingehend erläutert, dass die auf kurdischem Gebiet stattfindenden gewalttätigen Militäraktionen notorische Tatsachen seien, die es nicht speziell zu beweisen gelte; jeder der sich als "Nichtmilitär" in den kurdischen Osten begebe, sei konkret an Leib und Leben gefährdet. Zwar ist dem Beschwerdeführer dahingehend zuzustimmen, dass im Osten und Südosten der Türkei weiterhin lokal bewaffnete Auseinandersetzungen zwischen der PKK und türkischen Sicherheitskräften nicht auszuschliessen sind, ansonsten herrscht in diesem Landesteil jedoch weder Krieg noch eine Situation allgemeiner Gewalt. In Bezug auf diesen Landesteil liegen aktuell - ausser dem Hinweis auf gewisse Sperrgebiete - denn auch keine konkreten Hinweise auf eine Gefährdung vor. Schliesslich sind auch keine persönlichen Gründe ersichtlich, welche gegen die Rückkehr des Beschwerdeführers sprechen, womit der Vollzug der Wegweisung zumutbar ist.</w:t>
      </w:r>
    </w:p>
    <w:p>
      <w:r>
        <w:rPr>
          <w:b/>
        </w:rPr>
        <w:t>E. 6.5</w:t>
      </w:r>
    </w:p>
    <w:p>
      <w:r>
        <w:t>Zusammenfassend ergibt sich, dass sich der Vollzug der Wegweisung des Beschwerdeführers als möglich, zulässig und zumutbar erweist (Art. 14a Abs. 2 - 4 ANAG). Die Vorinstanz hat zu Recht keine vorläufige Aufnahme verfügt.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Verfahrensausgang sind dem Beschwerdeführer die Kosten aufzuerlegen (Art. 63 Abs. 1 VwVG i.V.m. Art. 2 ff.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