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C-8279/2007 vom 4. November 2008</w:t>
      </w:r>
    </w:p>
    <w:p>
      <w:r>
        <w:t>Bundesverwaltungsgericht, 2008-11-04, DE</w:t>
      </w:r>
    </w:p>
    <w:p>
      <w:r>
        <w:rPr>
          <w:b/>
        </w:rPr>
        <w:t xml:space="preserve">Quelle: </w:t>
      </w:r>
      <w:r>
        <w:t>https://mcp.opencaselaw.ch/entscheid/bvger_C-8279_2007</w:t>
      </w:r>
    </w:p>
    <w:p>
      <w:r>
        <w:t>FR: TAF C-8279/2007 du 4 novembre 2008</w:t>
      </w:r>
    </w:p>
    <w:p>
      <w:r>
        <w:t>IT: TAF C-8279/2007 del 4 novembre 2008</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Art. 34 VGG aufgeführten Behörden. Darunter fallen die Verfügungen des Bundesamtes für Migration betreffend Bewilligung der Einreise. Das Bundesverwaltungsgericht entscheidet in diesem Bereich endgültig (Art. 83 Bst. c Ziff. 1 des Bundesgerichtsgesetzes vom 17. Juni 2005 [BGG, SR 173.110]).</w:t>
      </w:r>
    </w:p>
    <w:p>
      <w:r>
        <w:rPr>
          <w:b/>
        </w:rPr>
        <w:t>E. 1.2</w:t>
      </w:r>
    </w:p>
    <w:p>
      <w:r>
        <w:t>Das Verfahren vor dem Bundesverwaltungsgericht richtet sich gemäss Art. 37 VGG nach dem VwVG, sofern das Gesetz nichts anderes bestimmt.</w:t>
      </w:r>
    </w:p>
    <w:p>
      <w:r>
        <w:rPr>
          <w:b/>
        </w:rPr>
        <w:t>E. 1.3</w:t>
      </w:r>
    </w:p>
    <w:p>
      <w:r>
        <w:t>Der Beschwerdeführer ist als Garant und Gastgeber aufgrund von Art. 48 Abs. 1 VwVG zur Beschwerde legitimiert. Auf die frist- und formgerecht eingereichte Beschwerde ist somit einzutreten (Art. 49 ff. VwVG).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AuG). Da das der angefochtenen Verfügung zugrunde liegende Gesuch vor Inkrafttreten des AuG eingereicht wurde, ist gemäss Art. 126 Abs. 1 AuG das bisherige Recht, d.h. das ANAG und die darauf abgestützten, per 1. Januar 2008 ebenfalls aufgehobenen Verordnungen (vgl. Auflistung in Art. 91 der Verordnung vom 24. Oktober 2007 über Zulassung, Aufenthalt und Erwerbstätigkeit [VZAE, SR 142.201]), anwendbar.</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4.1</w:t>
      </w:r>
    </w:p>
    <w:p>
      <w:r>
        <w:t>Ausländer und Ausländerinnen sind zur Anwesenheit in der Schweiz berechtigt, wenn sie eine Aufenthalts- oder Niederlassungsbewilligung haben oder keiner solchen bedürfen (Art. 1a ANAG). Gewisse Gruppen von Ausländerinnen und Ausländern benötigen für die Einreise in die Schweiz ein Visum (vgl. Art. 3 ff. der Verordnung vom 14. Januar 1998 über die Einreise und Anmeldung von Ausländerinnen und Ausländern [VEA, AS 1998 194]).</w:t>
      </w:r>
    </w:p>
    <w:p>
      <w:r>
        <w:rPr>
          <w:b/>
        </w:rPr>
        <w:t>E. 4.2</w:t>
      </w:r>
    </w:p>
    <w:p>
      <w:r>
        <w:t>Das Bundesamt für Migration entscheidet im Rahmen der gesetzlichen Vorschriften und der Verträge mit dem Ausland nach freiem Ermessen über die Bewilligung von Aufenthalt und Niederlassung (Art. 4 und Art. 16 Abs. 1 ANAG, Art. 9 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w:t>
      </w:r>
    </w:p>
    <w:p>
      <w:r>
        <w:rPr>
          <w:b/>
        </w:rPr>
        <w:t>E. 4.3</w:t>
      </w:r>
    </w:p>
    <w:p>
      <w:r>
        <w:t>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(Art. 1 Abs. 2 Bst. c VEA).</w:t>
      </w:r>
    </w:p>
    <w:p>
      <w:r>
        <w:rPr>
          <w:b/>
        </w:rPr>
        <w:t>E. 5</w:t>
      </w:r>
    </w:p>
    <w:p>
      <w:r>
        <w:t>Der Gesuchsteller benötigt aufgrund seiner Nationalität zur Einreise in die Schweiz neben dem Pass ein Visum. Die Vorinstanz verweigerte die Erteilung eines solchen Visums mit der Begründung, die fristgerechte Wiederausreise erscheine nicht als hinreichend gesichert.</w:t>
      </w:r>
    </w:p>
    <w:p>
      <w:r>
        <w:rPr>
          <w:b/>
        </w:rPr>
        <w:t>E. 5.1</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5.2</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Trotzdem steht der Wiederaufbau des Kosovo noch immer vor massiven, unbewältigten wirtschaftlichen und politischen Problemen. Dazu zählen die hohe Arbeitslosigkeit von mehr als 50% der arbeitsfähigen Bevölkerung, die geringe Produktivität und die Abhängigkeit von Auslandsüberweisungen. Wichtige Teile der Infrastruktur im Kosovo wurden inzwischen erneuert oder wieder aufgebaut, ein nachhaltiger wirtschaftlicher Aufschwung ist jedoch noch nicht zu verzeichnen. Auch der Frieden ist noch nicht dauerhaft gesichert (Quelle: www.bmz.de. Stand Juni 2008, Seite besucht am 16. Oktober 2008). Gemäss World Bank Brief 2007 (aktualisiert Februar 2008) liegt der Armutsanteil der Bevölkerung im Kosovo bei 45% (Quelle: www.worldbank.org, besucht am 15. Oktober 2008). Entsprechend hoch ist der Anteil jener, die versuchen, ins Ausland zu gelangen, um sich unter günstigeren Lebensbedingungen eine bessere Existenz sichern zu können. Auch die jüngst erfolgte Unabhängigkeitserklärung des Kosovo dürfte die Ursachen für das hohe Migrationsaufkommen der Vergangenheit nicht beseitigen. Unter den Auswanderungswilligen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5.3</w:t>
      </w:r>
    </w:p>
    <w:p>
      <w:r>
        <w:t>Angesichts der schwierigen Lage im Herkunftsland des Gesuchstellers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5.3.1</w:t>
      </w:r>
    </w:p>
    <w:p>
      <w:r>
        <w:t>Der Gesuchsteller ist 41 Jahre alt und lebt mit seiner Mutter zusammen. Nach eigenen Angaben ist er arbeitslos; gemäss den Angaben des Gastgebers arbeitet er als selbständiger Automechaniker. Aufgrund dieser rudimentären, sich teilweise widersprechenden Informationen kann nicht auf besondere berufliche, gesellschaftliche oder familiäre Verpflichtungen des Gesuchstellers in seinem Heimatland geschlossen werden.</w:t>
      </w:r>
    </w:p>
    <w:p>
      <w:r>
        <w:rPr>
          <w:b/>
        </w:rPr>
        <w:t>E. 5.3.2</w:t>
      </w:r>
    </w:p>
    <w:p>
      <w:r>
        <w:t>Aus den Akten der Vorinstanz geht hervor, dass der Gesuchsteller bereits mehrmals in der Schweiz war, dass er sich jedoch nicht an die Ausreisefristen gehalten hat bzw. versucht hat, die Ausreise durch Verlängerungsgesuche hinauszuschieben. Er wurde deshalb insgesamt dreimal ausgeschafft. Aufgrund dessen äusserte die Vorinstanz Zweifel an der fristgerechten Wiederausreise. Der Beschwerdeführer bringt dagegen vor, der Gesuchsteller sei auf Anweisung seines damaligen Rechtsvertreters, C._______, nicht ausgereist. Später habe sich herausgestellt, dass dieser gar kein richtiger Anwalt sei und wegen Vermögensdelikten sowie wegen Widerhandlung gegen das Anwaltsgesetz angeklagt bzw. verurteilt worden sei. Diese Vorbringen erweisen sich als unbehelflich. Zum einen hatte der Gesuchsteller im Jahre 2002 offenbar zwei Rechtsvertreter mandatiert (Vollmachten bei den Akten der Vorinstanz). Er hätte somit die Möglichkeit gehabt, den zweiten Rechtsvertreter zu konsultieren. Zum anderen muss er sich vorwerfen lassen, dass er, trotz klar umrissener Rahmenbedingungen und der Erfahrungen aus dem Jahre 2002, auch bei der zweiten Aussetzung der Einreisesperre im Jahre 2004 nicht fristgerecht wieder ausgereist ist. Der Gesuchsteller ist mehrmals seiner Verpflichtung zur Ausreise nicht nachgekommen und musste - mit erheblichem finanziellen Aufwand für das betroffene Gemeinwesen - ausgeschafft werden. Angesichts dieses Verhaltens ist die Schlussfolgerung der Vorinstanz nicht zu beanstanden, es könne nicht davon ausgegangen werden, dass der Gesuchsteller in Zukunft willens sei, vor Ablauf der Visumsdauer ordnungsgemäss in sein Heimatland zurückzukehren.</w:t>
      </w:r>
    </w:p>
    <w:p>
      <w:r>
        <w:rPr>
          <w:b/>
        </w:rPr>
        <w:t>E. 5.4</w:t>
      </w:r>
    </w:p>
    <w:p>
      <w:r>
        <w:t>Zusammenfassend ergibt sich, dass die fristgerechte Wiederausreise des Gesuchstellers als nicht gesichert erscheint. Dabei handelt es sich nicht um eine sichere Erkenntnis, sondern um eine Prognose betreffend das zukünftige Verhalten des Gesuchstellers im Falle seiner Einreise in die Schweiz; doch reicht praxisgemäss eine negative Prognose aus, um den Antrag auf Erteilung einer Einreisebewilligung, worauf wie erwähnt ohnehin kein Rechtsanspruch besteht, abzulehnen.</w:t>
      </w:r>
    </w:p>
    <w:p>
      <w:r>
        <w:rPr>
          <w:b/>
        </w:rPr>
        <w:t>E. 6.1</w:t>
      </w:r>
    </w:p>
    <w:p>
      <w:r>
        <w:t>Den Akten ist ferner zu entnehmen, dass die geschiedene Ehefrau des Gesuchstellers mit den beiden gemeinsamen Kindern in der Schweiz lebt. Auf Beschwerdeebene wird denn auch geltend gemacht, der Gesuchsteller möchte den geplanten Aufenthalt in der Schweiz zum Anlass nehmen, seine Kinder, die er seit vier Jahren nicht mehr gesehen habe, zu besuchen. Dem öffentlichen Interesse an der Einhaltung der Einreisevorschriften steht somit das Interesse des Gesuchstellers an einem von staatlichen Eingriffen ungestörten Familienleben gegenüber, welches in allgemeiner Weise von Art. 13 der Bundesverfassung der Schweizerischen Eidgenossenschaft vom 18. April 1999 (BV, SR 101) und Art. 8 der Konvention vom 4. November 1950 zum Schutze der Menschenrechte und Grundfreiheiten (EMRK, SR 0.101) geschützt wird. Damit stellt sich die Frage, ob die Verweigerung der Einreise vor diesen Bestimmungen standhält.</w:t>
      </w:r>
    </w:p>
    <w:p>
      <w:r>
        <w:rPr>
          <w:b/>
        </w:rPr>
        <w:t>E. 6.2</w:t>
      </w:r>
    </w:p>
    <w:p>
      <w:r>
        <w:t>Der Schutzbereich des Familienlebens im Sinne der genannten Normen umfasst einerseits Konstellationen, in denen es um die Anwesenheitsregelung bzw. den Aufenthaltsanspruch von Familienmitgliedern geht. Andererseits werden aber auch Konstellationen abgedeckt, die keinen Zusammenhang mit einem Anwesenheitsanspruch haben (vgl. Urteil des Bundesverwaltungsgerichts C-5774/2007 vom 24. Januar 2008 E. 6.2 mit Hinweis). Im vorliegenden Fall geht es um den persönlichen Kontakt zwischen dem Gesuchsteller und seinen minderjährigen, in der Schweiz lebenden Kindern. Die Pflege eines solchen Kontaktes kann in den Schutzbereich von Art. 8 EMRK fallen (vgl. Urteil des Bundesgerichts 2A.10/2001 vom 11. Mai 2001 E. 2b).</w:t>
      </w:r>
    </w:p>
    <w:p>
      <w:r>
        <w:rPr>
          <w:b/>
        </w:rPr>
        <w:t>E. 6.3</w:t>
      </w:r>
    </w:p>
    <w:p>
      <w:r>
        <w:t>Die EMRK bzw. die BV garantieren indessen kein Recht auf Einreise oder auf ein Familienleben an einem bestimmten Ort (vgl. das erwähnte Urteil des Bundesverwaltungsgerichts C-5774/2007 E. 6.3 mit Hinweisen). Ausserdem kann der Schutz des Familienlebens nur dann angerufen werden, wenn die Beziehung auch tatsächlich gelebt wird, sich der Beschwerdeführer somit auf eine intakte familiäre Beziehung zu seinen in der Schweiz lebenden Kindern berufen kann, was anhand objektiv überprüfbarer Umstände nachzuweisen ist (vgl. Urteil des Bundesverwaltungsgerichts C-742/2006 vom 17. März 2008 E. 6.3 mit Hinweisen). Im vorliegenden Fall stehen die beiden Kinder unter der alleinigen elterlichen Sorge der Mutter. Dem Gesuchsteller steht ein Besuchsrecht von zwei Tagen pro Monat zu, dessen Modalitäten vom eingesetzten Beistand festzulegen sind (Urteil des Obergerichts des Kantons Appenzell Ausserrhoden vom 30. März 2004). Es ist weder der Beschwerdeschrift noch den übrigen Akten zu entnehmen, dass die Ausübung des Besuchsrechtes konkret angestrebt wurde oder wird. Es ist auch nicht bekannt, ob und allenfalls auf welche Weise der Kontakt zwischen Vater und Kindern in den vergangenen vier Jahren gepflegt wurde (Telefonate, Briefe, Geschenke etc.). Es fehlt an Hinweisen auf eine gelebte familiäre Beziehung bzw. auf einen ernsthaft angestrebten Aufbau einer solchen, welche unter den Schutzbereich von Art. 8 EMRK fallen würde. Bestärkt wird diese Auffassung durch die Tatsache, dass der Gesuchsteller in seinem Gesuch als Begründung für die beantragte Einreise den Besuch bei seinem Bruder angab und nicht die Pflege der Beziehung zu seinen Kindern. Das behauptete Interesse des Gesuchstellers am persönlichen Kontakt zu seinen in der Schweiz lebenden Kinder vermag vor diesem Hintergrund das öffentliche Interesse an der Einhaltung der Einreisebestimmungen nicht zu überwiegen.</w:t>
      </w:r>
    </w:p>
    <w:p>
      <w:r>
        <w:rPr>
          <w:b/>
        </w:rPr>
        <w:t>E. 7</w:t>
      </w:r>
    </w:p>
    <w:p>
      <w:r>
        <w:t>Aus diesen Darlegungen folgt, dass die angefochtene Verfügung im Ergebnis rechtmässig ist (Art. 49 VwVG). Die Beschwerde ist demzufolge abzuweisen.</w:t>
      </w:r>
    </w:p>
    <w:p>
      <w:r>
        <w:rPr>
          <w:b/>
        </w:rPr>
        <w:t>E. 8</w:t>
      </w:r>
    </w:p>
    <w:p>
      <w:r>
        <w:t>Bei diesem Ausgang des Verfahrens sind die Kosten dem Beschwerdeführer aufzuerlegen (vgl. Art. 63 Abs. 1 VwVG i.V.m Art. 1 und Art. 3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