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C-8254/2007 vom 17. Juni 2008</w:t>
      </w:r>
    </w:p>
    <w:p>
      <w:r>
        <w:t>Bundesverwaltungsgericht, 2008-06-17, FR</w:t>
      </w:r>
    </w:p>
    <w:p>
      <w:r>
        <w:rPr>
          <w:b/>
        </w:rPr>
        <w:t xml:space="preserve">Quelle: </w:t>
      </w:r>
      <w:r>
        <w:t>https://mcp.opencaselaw.ch/entscheid/bvger_C-8254_2007</w:t>
      </w:r>
    </w:p>
    <w:p>
      <w:r>
        <w:t>FR: TAF C-8254/2007 du 17 juin 2008</w:t>
      </w:r>
    </w:p>
    <w:p>
      <w:r>
        <w:t>IT: TAF C-8254/2007 del 17 giugno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de réexamen rendues par l'ODM en matière d'exception aux mesures de limitation (cf. art. 13 let. f aOLE)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Le recourant, qui est directement touché par la décision attaquée, a qualité pour recourir (art. 48 al. 1 PA). Présenté dans la forme et les délais prescrits par la loi, le recours est recevable (cf. art. 50ss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 Häner, op. cit., p. 156ss; Knapp, op. cit., p. 276; Fritz Gygi, Bundesverwaltungsrechtspflege, Berne 1983, p. 262s.; Jean-François Poudret, Commentaire de la loi fédérale d'organisation judiciaire, vol. V, Berne 1992, p. 18, 27ss et 32ss).</w:t>
      </w:r>
    </w:p>
    <w:p>
      <w:r>
        <w:rPr>
          <w:b/>
        </w:rPr>
        <w:t>E. 3.1</w:t>
      </w:r>
    </w:p>
    <w:p>
      <w:r>
        <w:t>Dans le cadre de la présente procédure extraordinaire, le recourant a fait valoir, à titre de fait nouveau, la présence en Suisse de sa fille et de sa petite-fille, née le 21 avril 2007. Dans la mesure où cette naissance est postérieure à la décision prise sur recours par le Tribunal fédéral le 6 décembre 2006, c'est à juste titre que l'autorité intimée a considéré la requête du 3 octobre 2007 comme une demande de réexamen de sa précédente décision de refus d'exception aux mesures de limitation et qu'elle est entrée en matière sur celle-ci (sur la délimitation entre la compétence de l'autorité de première instance en matière de réexamen et celle de l'autorité de recours en matière de révision: cf. Jurisprudence et informations de la Commission suisse de recours en matière d'asile [JICRA] 1995 no 21 consid. 1/b-c p. 202ss, et réf. cit.). Quant à la présence de la fille de l'intéressé en Suisse, le TAF constate qu'il ne s'agit pas d'un élément nouveau, puisque celle-ci est entrée dans ce pays le 17 mai 2006. Aussi, ce fait aurait déjà pu être invoqué lors de la procédure de recours introduite devant le DFJP contre la décision de l'ODM du 21 septembre 2005, ainsi que devant le Tribunal fédéral. Il en est de même des cotisations AVS et de l'impôt à la source dont se prévaut le requérant dans son recours, dès lors qu'il s'en acquittait déjà auparavant. En tout état de cause, même s'il est indéniable que, sous un angle strictement familial, le recourant possède désormais des liens importants avec la Suisse puisque sa fille, âgée de presque 24 ans, et sa petite-fille y résident, ces éléments ne sauraient constituer des faits importants de nature à justifier le réexamen de la décision précitée. En effet, la relation de l'intéressé avec ce pays n'est, en définitive, pas si étroite qu'on ne puisse pas exiger de lui qu'il retourne dans sa patrie, où demeurent d'ailleurs son épouse et ses trois autres enfants, dans la mesure où l'on peut raisonnablement attendre de lui qu'il vive, de manière indépendante, éloigné de sa fille majeure et de sa petite-fille, d'autant que les contacts avec ces dernières ne seront pas exclus, celles-ci pouvant, par exemple, lui rendre visite en Macédoine.</w:t>
      </w:r>
    </w:p>
    <w:p>
      <w:r>
        <w:rPr>
          <w:b/>
        </w:rPr>
        <w:t>E. 3.2</w:t>
      </w:r>
    </w:p>
    <w:p>
      <w:r>
        <w:t>Pour le reste, le TAF observe que les autorités compétentes (Office fédéral, DFJP et Tribunal fédéral) se sont déjà prononcées de manière circonstanciée sur la situation du recourant et qu'elles ont considéré, en particulier, que la durée de son séjour, son intégration tant sur le plan professionnel que social, ainsi que sa situation en cas de retour en Macédoine, ne permettaient pas de conclure que l'intéressé se trouvait dans une situation d'extrême gravité au sens de l'art. 13 let. f aOLE et de la jurisprudence restrictive en la matière. Ainsi, il est à noter que la décision de l'ODM du 21 septembre 2005 a été confirmée sur recours tant par décision du DFJP du 21 août 2006 que par arrêt du Tribunal fédéral du 6 décembre 2006. Or, il s'impose de relever qu'entre la confirmation en dernière instance de la première décision de l'Office fédéral par le Tribunal fédéral le 6 décembre 2006 et la deuxième décision rendue par l'ODM le 7 novembre 2007, l'intéressé n'a fait que passer onze mois supplémentaires en Suisse. A supposer que la poursuite de son séjour dans ce pays durant ce laps de temps ait pu quelque peu consolider ses attaches sociales et professionnelles avec celui-ci, le simple écoulement du temps et une évolution normale de son intégration ne constituent de toute façon pas, à proprement parler, des faits nouveaux qui auraient entraîné une modification substantielle de sa situation personelle (cf. arrêt du Tribunal fédéral 2A. 180/2000 du 14 août 2000 consid. 4c). A ce propos, la jurisprudence citée précédemment au considérant 2 souligne que le réexamen d'une décision ne peut avoir pour résultat d'obtenir une nouvelle appréciation de faits connus lors de ladite décision. Il convient d'observer au demeurant que l'évolution de sa situation depuis le rejet définitif de sa demande de régularisation (par arrêt du Tribunal fédéral du 6 décembre 2006) n'est que la conséquence prévisible du comportement du recourant, lequel a refusé d'obtempérer à l'obligation qui lui a été faite, à maintes reprises, de quitter la Suisse après avoir épuisé les voies de droit à sa disposition. Dans ces circonstances, l'intéressé est mal venu de se prévaloir d'une situation dont il porte l'entière responsabilité.</w:t>
      </w:r>
    </w:p>
    <w:p>
      <w:r>
        <w:rPr>
          <w:b/>
        </w:rPr>
        <w:t>E. 3.3</w:t>
      </w:r>
    </w:p>
    <w:p>
      <w:r>
        <w:t>En définitive, force est de constater que le recourant n'invoque aucun élément ou changement de circonstances important, survenu postérieurement à la décision de l'Office fédéral du 21 septembre 2005 - confirmée respectivement par le DFJP et le Tribunal fédéral - qui permettrait de conclure que l'intéressé se trouverait dans une situation d'extrême gravité au sens de l'art. 13 let. f aOLE. Par conséquent, c'est à bon droit que l'autorité intimée a rejeté sa demande de réexamen.</w:t>
      </w:r>
    </w:p>
    <w:p>
      <w:r>
        <w:rPr>
          <w:b/>
        </w:rPr>
        <w:t>E. 4</w:t>
      </w:r>
    </w:p>
    <w:p>
      <w:r>
        <w:t>S'agissant de la requête du recourant tendant à son audition personnelle par le Tribunal, il importe de rappeler ici que la procédure en matière de recours administratif est en principe écrite (cf. JAAC 56.5; Gygi, op. cit.,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(principalement la question de savoir si le requérant invoque des faits, respectivement des moyens de preuve importants qu'il ne connaissait pas lors de la première décision ou dont il ne pouvait se prévaloir ou n'avait pas de raison de se prévaloir à l'époque, ou si les circonstances se sont modifiées dans une mesure notable depuis la première décision) ressortent clairement du dossier et ne nécessitent donc aucun complément d'instruction. Par voie de conséquence, dans la mesure où les faits de la cause sont établis à satisfaction de droit, l'autorité de céans juge inutile d'ordonner l'audition du recourant.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5</w:t>
      </w:r>
    </w:p>
    <w:p>
      <w:r>
        <w:t>Compte tenu des considérants exposés ci-dessus, il appert que, par sa décision du 7 novembre 2007,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