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C-8250/2008 vom 10. Juni 2011</w:t>
      </w:r>
    </w:p>
    <w:p>
      <w:r>
        <w:t>Bundesverwaltungsgericht, 2011-06-10, DE</w:t>
      </w:r>
    </w:p>
    <w:p>
      <w:r>
        <w:rPr>
          <w:b/>
        </w:rPr>
        <w:t xml:space="preserve">Quelle: </w:t>
      </w:r>
      <w:r>
        <w:t>https://mcp.opencaselaw.ch/entscheid/bvger_C-8250_2008</w:t>
      </w:r>
    </w:p>
    <w:p>
      <w:r>
        <w:t>FR: TAF C-8250/2008 du 10 juin 2011</w:t>
      </w:r>
    </w:p>
    <w:p>
      <w:r>
        <w:t>IT: TAF C-8250/2008 del 10 giugno 2011</w:t>
      </w:r>
    </w:p>
    <w:p>
      <w:pPr>
        <w:pStyle w:val="Heading2"/>
      </w:pPr>
      <w:r>
        <w:t>Regeste</w:t>
      </w:r>
    </w:p>
    <w:p>
      <w:r>
        <w:t>Sicherheitskonto</w:t>
      </w:r>
    </w:p>
    <w:p>
      <w:pPr>
        <w:pStyle w:val="Heading2"/>
      </w:pPr>
      <w:r>
        <w:t>Erwägungen</w:t>
      </w:r>
    </w:p>
    <w:p>
      <w:r>
        <w:rPr>
          <w:b/>
        </w:rPr>
        <w:t>E. 1.1</w:t>
      </w:r>
    </w:p>
    <w:p>
      <w:r>
        <w:t>Verfügungen des BFM auf dem Gebiet des Asyl- und Ausländerrechts unterliegen der Beschwerde an das BVGer (vgl. Art. 31, Art. 32 und Art. 33 Bst. d des Verwaltungsgerichtsgesetzes vom 17. Juni 2005 [VGG, SR 173.32]).</w:t>
      </w:r>
    </w:p>
    <w:p>
      <w:r>
        <w:rPr>
          <w:b/>
        </w:rPr>
        <w:t>E. 1.2</w:t>
      </w:r>
    </w:p>
    <w:p>
      <w:r>
        <w:t>Das Verfahren vor dem BVGer richtet sich nach dem Verwaltungsverfahrensgesetz vom 20. Dezember 1968 (VwVG, SR 172.021), soweit das Verwaltungsgerichtsgesetz nichts anderes bestimmt (vgl. Art. 37 VGG).</w:t>
      </w:r>
    </w:p>
    <w:p>
      <w:r>
        <w:rPr>
          <w:b/>
        </w:rPr>
        <w:t>E. 1.3</w:t>
      </w:r>
    </w:p>
    <w:p>
      <w:r>
        <w:t>Die Beschwerdeführerin ist als Verfügungsadressatin zur Beschwerde legitimiert (vgl. Art. 48 Abs. 1 VwVG). Auf die im Übrigen frist- und formgerecht eingereichte Beschwerde ist daher einzutreten (vgl. Art. 49 ff. VwVG).</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2007/41 E. 2 und Urteil des BVGer A 2682/2007 vom 7. Oktober 2010 E. 1.2. und 1.3).</w:t>
      </w:r>
    </w:p>
    <w:p>
      <w:r>
        <w:rPr>
          <w:b/>
        </w:rPr>
        <w:t>E. 3</w:t>
      </w:r>
    </w:p>
    <w:p>
      <w:r>
        <w:t>Strittig ist vorliegend, ob das BFM vom Sicherheitskonto der Beschwerdeführerin insgesamt Fr. 15'000.- zu Gunsten des Bundes vereinnahmen durfte.</w:t>
      </w:r>
    </w:p>
    <w:p>
      <w:r>
        <w:rPr>
          <w:b/>
        </w:rPr>
        <w:t>E. 4.1</w:t>
      </w:r>
    </w:p>
    <w:p>
      <w:r>
        <w:t>Am 1. Januar 2008 trat das Ausländergesetz vom 16. Dezember 2005 (AuG, SR 142.20) zusammen mit dem zweiten Paket der Asylgesetzrevision vom 16. Dezember 2005 in Kraft. Damit wurde ein Systemwechsel von der individuellen Sicherheitsleistungs- und Rückerstattungspflicht zur Sonderabgabe vollzogen.</w:t>
      </w:r>
    </w:p>
    <w:p>
      <w:r>
        <w:rPr>
          <w:b/>
        </w:rPr>
        <w:t>E. 4.2</w:t>
      </w:r>
    </w:p>
    <w:p>
      <w:r>
        <w:t>Die bis zum 31. Dezember 2007 geltende rechtliche Grundlage stellt sich folgendermassen dar: Gemäss Art. 14c Abs. 6 des Bundesgesetzes vom 26. März 1931 über Aufenthalt und Niederlassung der Ausländer (ANAG, BS 1 121) in der seit 1. Oktober 1999 geltenden Fassung (vgl. Anhang Ziffer 1 des Asylgesetzes vom 26. Juni 1998 [AS 1999 2262]) sind vorläufig Aufgenommene verpflichtet, für die Rückerstattung von Fürsorge-, Verfahrens-, Ausreise- und Vollzugskosten Sicherheit zu leisten. Die Art. 85 bis 87 AsylG (in der Fassung vom 26. Juni 1998, die bis 31. Dezember 2007 in Geltung stand, nachfolgend AsylG [1998], AS 1999 2262]) gelten sinngemäss (vgl. ferner die per 1. Dezember 2008 aufgehobenen Art. 22 und 23 der Verordnung vom 11. August 1999 über den Vollzug der Weg- und Ausweisung von ausländischen Personen [VVWA, SR 142.281] in der Fassung vom 11. August 1999 [AS 1999 2254]).</w:t>
      </w:r>
    </w:p>
    <w:p>
      <w:r>
        <w:rPr>
          <w:b/>
        </w:rPr>
        <w:t>E. 4.3</w:t>
      </w:r>
    </w:p>
    <w:p>
      <w:r>
        <w:t>Gemäss Art. 85 Abs. 1 AsylG (1998) sind die Kosten der Fürsorge, der Ausreise und des Vollzugs sowie die Kosten des Rechtsmittelverfahrens zurückzuerstatten, soweit dies zumutbar erscheint. Darüber hinaus besteht gemäss Art. 86 AsylG (1998) die Verpflichtung, für die Rückerstattung der vorerwähnten Kosten Sicherheiten zu leisten. Zu diesem Zweck richtet der Bund (individuelle) Sicherheitskonten ein, die durch Lohnabzüge und Vermögenswertabnahmen geäufnet werden. Die Sicherheitsleistungen werden gemäss Art. 87 Abs. 1 AsylG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der Asylverordnung 2 in ihrer ursprünglichen, bis zum 31. Dezember 2007 geltenden Fassung, nachfolgend AsylV 2 [1999], AS 1999 2318).</w:t>
      </w:r>
    </w:p>
    <w:p>
      <w:r>
        <w:rPr>
          <w:b/>
        </w:rPr>
        <w:t>E. 4.4</w:t>
      </w:r>
    </w:p>
    <w:p>
      <w:r>
        <w:t>Das neue Recht ändert grundsätzlich nichts an der Pflicht von Personen des Asylrechts und von vorläufig Aufgenommenen, Sozialhilfe-, Ausreise- und Vollzugskosten sowie die Kosten des Rechtsmittelverfahrens zurückzuerstatten (vgl. Art. 85 Abs. 1 AsylG und Art. 88 AuG). Zwecks Vereinfachung der Verfahrensabläufe und Kostensenkung wird jedoch das bisherige System der Rückerstattung individuell zurechenbarer Kosten aus den geleisteten Sicherheiten aufgegeben (vgl. dazu Botschaft zur Änderung des Asylgesetzes vom 4. September 2002, BBl 2002 6845, hier 6872). An seine Stelle tritt eine Sonderabgabe, der erwerbstätige Asylsuchende, vorläufig Aufgenommene und Schutzbedürftige ohne Aufenthaltsbewilligung unterworfen werden (vgl. Art. 86 Abs. 1 erster Satz AsylG bzw. Art. 88 AuG) Diese Sonderabgabe, die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w:t>
      </w:r>
    </w:p>
    <w:p>
      <w:r>
        <w:rPr>
          <w:b/>
        </w:rPr>
        <w:t>E. 4.5</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2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Absatz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4.6</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(1998) vor Inkrafttreten des neuen Rechts verwirklicht hat (Abs. 2 der Übergangsbestimmungen zur Änderung des AsylG, Art. 126a Abs. 1 AuG). Andererseits wird der Bundesrat in Bezug auf Personen, die vor dem Inkrafttreten der Gesetzesänderung einer Erwerbstätigkeit nachgegangen sind,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4.7</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Absatz 6 bestimmt, dass Asylsuchenden, vorläufig Aufgenommenen und Schutzbedürftigen ohne Aufenthaltsbewilligung, die mit Inkrafttreten dieser Verordnungsänderung der Sonderabgabe nach Art. 86 AsylG unterstehen, die Zeit seit Aufnahme der ersten sicherheitsleistungspflichtigen Erwerbstätigkeit oder die Zeit seit Eintritt der Rechtskraft der Verfügung über eine erste Vermögenswertabnahme an die Dauer der Sonderabgabepflicht angerechnet wird. Absatz 7 sagt, dass Rückerstattungen, die gestützt auf eine Zwischenabrechnung nach Art. 16 AsylV 2 (1999) geleistet wurden, den von dieser Zwischenabrechnung betroffenen, sonderabgabepflichtigen Personen vollumfänglich an die Sonderabgabepflicht angerechnet wird. Absatz 8 schliesslich führt aus, dass Sicherheitsleistungen nach Art. 86 AsylG (1998) und Art. 14c Abs. 6 ANAG unter Anrechnung allfälliger Rückerstattungen nach Absatz 6 bis zum Maximalbetrag der Sonderabgabe von Fr. 15'000.- vom Bund vereinnahmt und vollumfänglich an die Sonderabgabepflicht angerechnet werden. Die über den Betrag von Fr. 15'000.- hinausgehenden Sicherheitsleistungen werden den Kontoinhabern ausbezahlt oder an die Sonderabgabepflicht des Ehegatten angerechnet.</w:t>
      </w:r>
    </w:p>
    <w:p>
      <w:r>
        <w:rPr>
          <w:b/>
        </w:rPr>
        <w:t>E. 5.1</w:t>
      </w:r>
    </w:p>
    <w:p>
      <w:r>
        <w:t>Die vorliegende Streitsache beschlägt die Überführung des alten Sicherheitsleistungssystems mit individueller Abrechnung über zurechenbare Kosten in das neue System der Sonderabgabe. Die Beschwerdeführerin äufnete noch unter der Geltung des alten Rechts als vorläufig aufgenommene Person ihr Sicherheitskonto mit Lohnabzügen. Zur Schlussabrechnung kam es mangels Verwirklichung eines Schlussabrechnungsgrundes nicht. Das BFM sah sich daher nach dem Inkrafttreten des neuen Rechts veranlasst, das Sicherheitskonto gestützt auf Absätze 6 bis 8 der Übergangsbestimmungen zur Änderung der AsylV 2 aufzulösen. Zu diesem Zweck erliess es die angefochtene Verfügung. Darin wurden vom fraglichen Sicherheitskonto, welches einen Stand von Fr. 31'850.30 aufwies, Fr. 15'000.- zu Gunsten des Bundes eingezogen. In Bezug auf das Restguthaben (Fr. 16'850.30) ordnete die Vorinstanz die Auszahlung an die Beschwerdeführerin an.</w:t>
      </w:r>
    </w:p>
    <w:p>
      <w:r>
        <w:rPr>
          <w:b/>
        </w:rPr>
        <w:t>E. 5.2</w:t>
      </w:r>
    </w:p>
    <w:p>
      <w:r>
        <w:t>Das BVGer hat sich in einem vergleichbaren Fall in einem Grundsatzurteil inzwischen zur rechtssatzmässigen Ausgestaltung der Sonderabgabe, den entsprechenden Übergangsbestimmungen sowie der konkreten Handhabung einzelner Verordnungsbestimmungen geäussert und befunden, die getroffene Regelung erweise sich - soweit eine Überprüfung zulässig ist (vgl. Art. 190 BV) - als verfassungskonform und der Bundesrat habe seine Verordnungskompetenz delegationskonform wahrgenommen (zum Ganzen vgl. Urteil des BVGer C-7179/2008 vom 21. Dezember 2010 E. 3 und 6). Auch im konkreten Fall ist die Vorinstanz rechtmässig vorgegangen. Da bei der Beschwerdeführerin vor Inkrafttreten des Ausländergesetzes am 1. Januar 2008 kein Schlussabrechnungsgrund eingetreten war (vgl. E. 4.3), wurde - wie angetönt - korrekterweise das neue Recht angewendet und die Betroffene der Sonderabgabepflicht unterstellt. Der vorgesehene Betrag wurde vereinnahmt und das Restguthaben gelangte zur Auszahlung.</w:t>
      </w:r>
    </w:p>
    <w:p>
      <w:r>
        <w:rPr>
          <w:b/>
        </w:rPr>
        <w:t>E. 5.3</w:t>
      </w:r>
    </w:p>
    <w:p>
      <w:r>
        <w:t>Die Beschwerdeführerin bestreitet nicht, dass die Vorinstanz die geltende Regelung korrekt angewendet hat. Vielmehr beruft sie sich darauf, die Übergangsbestimmungen der Asylverordnung 2 seien in verschiedener Hinsicht verfassungswidrig. Diese Rüge ist unter Hinweis auf das bereits erwähnte Grundsatzurteil C 7179/2008, in dem die im Wesentlichen gleichen Einwände geprüft wurden, als unbegründet zurückzuweisen. Dass die Beschwerdeführerin es als stossend empfindet, wenn Fr. 15'000.- vom Staat vereinnahmt werden, ohne dass sie je Kosten verursacht hat, kann angesichts der vom Bundesrat verfassungsmässig und delegationskonform ausgestalteten Übergangsregelung nicht ausschlaggebend sein.</w:t>
      </w:r>
    </w:p>
    <w:p>
      <w:r>
        <w:rPr>
          <w:b/>
        </w:rPr>
        <w:t>E. 6</w:t>
      </w:r>
    </w:p>
    <w:p>
      <w:r>
        <w:t>Aus diesen Erwägungen folgt, dass die angefochtene Verfügung im Ergebnis nicht zu beanstanden ist. Die Beschwerde ist daher abzuweisen.</w:t>
      </w:r>
    </w:p>
    <w:p>
      <w:r>
        <w:rPr>
          <w:b/>
        </w:rPr>
        <w:t>E. 7</w:t>
      </w:r>
    </w:p>
    <w:p>
      <w:r>
        <w:t>Bei diesem Ausgang des Verfahrens sind die Verfahrenskosten der Beschwerdeführerin aufzuerlegen (Art. 63 Abs. 1 VwVG, Art. 1 ff. des Reglements vom 21. Februar 2008 über die Kosten und Entschädigungen vor dem Bundesverwaltungsgericht [VGKE, SR 173.320.2]). Bei der Bemessung der Verfahrenskosten ist einerseits der in Art. 4 VGKE vorgegebene Kostenrahmen zu berücksichtigen. Andererseits ist miteinzubeziehen, dass die Begehren im vorliegenden Verfahren aufgrund der Praxis als aussichtslos anzusehen waren. Zwar erging der entsprechende Grund­satzentscheid erst nach Einreichung der vorliegenden Beschwerde. Die Beschwerdeführerin wurde indessen ausdrücklich auf dieses Urteil und die daraus entstehenden Konsequenzen aufmerksam gemacht. Von der Möglichkeit, zur Frage Stellung zu nehmen, ob sie an ihrer Beschwerde festhalte, machte sie keinen Gebrauch. Unter Berücksichtigung dieser beiden Faktoren erscheint die Festsetzung der Verfahrenskosten auf Fr. 2'000.- angemessen. Der einbezahlten Kostenvorschuss ist anzurechnen.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