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C-8246/2007 vom 13. Oktober 2009</w:t>
      </w:r>
    </w:p>
    <w:p>
      <w:r>
        <w:t>Bundesverwaltungsgericht, 2009-10-13, IT</w:t>
      </w:r>
    </w:p>
    <w:p>
      <w:r>
        <w:rPr>
          <w:b/>
        </w:rPr>
        <w:t xml:space="preserve">Quelle: </w:t>
      </w:r>
      <w:r>
        <w:t>https://mcp.opencaselaw.ch/entscheid/bvger_C-8246_2007</w:t>
      </w:r>
    </w:p>
    <w:p>
      <w:r>
        <w:t>FR: TAF C-8246/2007 du 13 octobre 2009</w:t>
      </w:r>
    </w:p>
    <w:p>
      <w:r>
        <w:t>IT: TAF C-8246/2007 del 13 ottobre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 ('UAIE).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24 ottobre 2006. In deroga all'art. 24 LPGA, l'art. 48 cpv. 2 LAI precisa che, se l'assicurato si annuncia più di dodici mesi dopo l'inizio del diritto, le prestazioni sono assegnate soltanto per i 12 mesi precedenti la richiesta. Nel caso di specie, questo Tribunale può limitarsi ad esaminare se il ricorrente avesse diritto ad una rendita il 24 ottobre 2005 (ossia 12 mesi precedenti la presentazione della domanda), oppure se un diritto alla rendita sia sorto tra tale data e il 17 ottobre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Va ancora rilevato che il riconoscimento di un danno alla salute psichica presuppone in particolare una diagnosi espressa da uno specialista psichiatrico, fondata su criteri posti da un sistema di classificazione riconosciuto scientificamente, il quale deve pronunciarsi sulla gravità dell'affezione (DTF 130 V 396). Tenendo conto di diversi criteri, il perito deve valutare l'esigibilità della ripresa lavorativa da parte dell'assicurato. Un'eventuale inesigibilità presuppone la presenza manifesta di una comorbidità psichiatrica di notevole gravità, intensità e durata oppure la presenza costante e intensa d'altri criteri qualificati quali l'esistenza di concomitanti affezioni organiche accompagnate da un decorso patologico plurien-nale con sintomi stabili o in evoluzione senza remissione duratura, la perdita d'integrazione sociale in tutti gli ambiti della vita, uno stato psichico consolidato, senza possibilità d'evoluzione sul piano terapeutico, ad indicare allo stesso tempo l'insuccesso e la liberazione dal processo risolutivo del conflitto psichico oppure l'insuccesso di trattamenti ambulatoriali o stazionari conformi alle regole dell'arte nonché provvedimenti riabilitativi a dispetto degli sforzi profusi dalla persona assicurata (sentenza del Tribunale federale I 702/03 del 28 maggio 2004 consid. 5).</w:t>
      </w:r>
    </w:p>
    <w:p>
      <w:r>
        <w:rPr>
          <w:b/>
        </w:rPr>
        <w:t>E. 8.5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In materia d'assicurazioni sociali, il giudice fonda la sua decisione, salvo disposizioni di legge contrarie, su fatti che, senza poter essere stabiliti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9.2</w:t>
      </w:r>
    </w:p>
    <w:p>
      <w:r>
        <w:t>La scelta di uno dei metodi di graduazione dell'invalidità (metodo generale del confronto dei redditi, metodo specifico o metodo misto) dipende dallo statuto attribuito al potenziale beneficiario della rendita. Se una persona sia da considerarsi appartenente all'una o all'altra di queste categorie si determina esaminando cosa essa avrebbe fatto, ritenute altrimenti le medesime circostanze, se non fosse subentrato il pregiudizio alla salute. Questo quesito si decide tenendo conto dell'evoluzione della situazione sino all'emanazione della decisione amministrativa litigiosa, ritenuto che l'ipotetica ripresa di un'attività lucrativa completa o parziale va ammessa ove tale eventualità presenti un grado di verosimiglianza preponderante (DTF 125 V 150 consid. 2c)</w:t>
      </w:r>
    </w:p>
    <w:p>
      <w:r>
        <w:rPr>
          <w:b/>
        </w:rPr>
        <w:t>E. 10.1</w:t>
      </w:r>
    </w:p>
    <w:p>
      <w:r>
        <w:t>Dalla documentazione medica agli atti emerge che il ricorrente soffre segnatamente di morbo di Parkinson, disturbo paranoideo di personalità in trattamento farmacologico continuativo e ritardo mentale lieve.</w:t>
      </w:r>
    </w:p>
    <w:p>
      <w:r>
        <w:rPr>
          <w:b/>
        </w:rPr>
        <w:t>E. 10.2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11.1</w:t>
      </w:r>
    </w:p>
    <w:p>
      <w:r>
        <w:t>Nella fattispecie in esame, occorre determinare se il ricorrente ha subito, senza interruzione notevole, un'incapacità lavorativa media di almeno il 40% durante un anno giusta l'art. 29 cpv. 1 lett. b LAI. Secondo l'autorità inferiore, tale non è il caso, mentre l'insorgente ritiene di avere diritto ad una rendita dell'assicurazione svizzera per l'invalidità, almeno nella misura di un quarto.</w:t>
      </w:r>
    </w:p>
    <w:p>
      <w:r>
        <w:rPr>
          <w:b/>
        </w:rPr>
        <w:t>E. 11.2</w:t>
      </w:r>
    </w:p>
    <w:p>
      <w:r>
        <w:t>Questo Tribunale rileva che il dott. C._______, medico SMR specialista in neurologia, nel suo rapporto del luglio 2007, ha ritenuto la diagnosi di morbo di Parkinson (stadio 1 secondo la scala di Hoehn e Yahr) e precisato che la malattia era suscettibile d'evoluzione (doc. 25.1). Tale diagnosi corrisponde a quella evidenziata nella perizia medica dettagliata E 213 del novembre 2006, nella quale è stato in particolare rilevato che l'insorgente presenta un lieve tremore alla mano destra (v. formulario E 213 pag. 4; doc. 20). Trattasi di sintomatologia unilaterale moderata corrispondente di principio allo stadio 1 secondo la scala di Hoehn e Yahr della malattia di Parkinson. Tuttavia, nella citata presa di posizione del neurologo dott. C._______ non è fatto riferimento alcuno al rapporto medico del 16 maggio 2007 del dott. H._______, specialista in neurofisiopatologia, in cui i sintomi del morbo di Parkinson manifestati dal ricorrente sono stati descritti come bilaterali, ciò che di regola corrisponde allo stadio II secondo la scala di Hoehn e Yahr. In replica, è stato pure esibito un nuovo certificato medico dell'aprile del 2008 del dott. H._______ (doc. TAF 8), da cui risulta che l'insorgente è affetto da malattia di Parkinson in stadio 2 della scala Hoehn e Yahr. Lo specialista riferisce che il paziente è in cura dal 2005 e presenta segnatamente tremore a riposo e nella deambulazione arto superiore destro, rigidità assiale e distonia assiale laterale a destra al tronco nonché rigidità bilaterale agli arti superiori. Il dott. I._______, nella sua presa di posizione del maggio 2008 richiesta dall'UAIE, ha ritenuto che vi è stato un peggioramento dei sintomi legati al morbo di Parkinson rispetto a novembre del 2006 (data della perizia medica particolareggiata), ma che sulla base degli atti di causa tale peggioramento sarebbe intervenuto solo successivamente all'emanazione della decisione impugnata il 17 ottobre 2007. Tuttavia, anche il dott. I._______ non ha citato il rapporto medico del dott. H._______ del 16 maggio 2007, dunque di data anteriore alla pronuncia della decisione litigiosa, tanto meno discusso la portata del suo contenuto. Sebbene il dott. H._______ non abbia indicato nel suo rapporto del 30 aprile 2008 il momento a partire dal quale debba essere ritenuta, naturalmente a suo giudizio, la presenza di sintomi del morbo di Parkinson giustificanti il passaggio allo stadio 2 della scala Hoehn e Yahr, indizi concreti che un tale passaggio potrebbe essersi realizzato sono rilevabili, contrariamente a quanto considerato dal dott. I._______, già nel rapporto del dott. H._______ del 16 maggio 2007. Pertanto, e da un profilo neurologico, le effettive limitazioni funzionali del ricorrente non sono state oggetto di una sufficiente verifica anteriormente alla pronunciata della decisione impugnata. In effetti, nella decisione impugnata è stato tenuto conto di limitazioni relative al morbo di Parkinson corrispondenti allo stadio 1 della scala Hoehn e Yahr allorquando erano rilevabili agli atti indizi concreti di limitazioni compatibili con lo stadio 2 della scala Hoehn e Yahr. Inoltre, sussistono agli atti di causa pure indicazioni che l'insorgente presenta, oltre al tipico tremore a riposo come indicato dal dott. I._______, anche tremore nella deambulazione. Ne discende che questo Tribunale ritiene un insufficiente accertamento dei fatti dal profilo neurologico.</w:t>
      </w:r>
    </w:p>
    <w:p>
      <w:r>
        <w:rPr>
          <w:b/>
        </w:rPr>
        <w:t>E. 11.3</w:t>
      </w:r>
    </w:p>
    <w:p>
      <w:r>
        <w:t>Questo Tribunale rileva, altresì, che nel 2001 è stato accertato che il ricorrente è affetto da un disturbo paranoideo (v. rapporto psichiatrico dell'8 gennaio 2001; doc. 12). Certo, e come indicato dallo psichiatra SMR dott. E._______ nei suoi rapporti del 26 luglio 2007 e del 28 marzo 2008, nel maggio del 2003 e nel giugno del 2004 l'insorgente è stato ospedalizzato per un disturbo distimico (doc. 14 e 15). Tuttavia, nel novembre del 2005 il ricorrente è comunque stato ricoverato presso una clinica psichiatrica per un episodio delirante paranoideo (doc. 16). Nel certificato psichiatrico del dicembre 2005 (doc. 17) è altresì evidenziato che lo stesso soffre di un disturbo paranoideo. Pure la perizia medica dettagliata del novembre 2006 fa stato di disturbo paranoideo di personalità in trattamento farmacologico (v. formulario E 213 pag. 4; doc. 20). La diagnosi di disturbo paranoideo è attestata anche nel certificato medico del settembre 2007 della dott.ssa G._______ (di data anteriore alla decisione impugnata e prodotto in sede di ricorso; doc. TAF 1). La specialista riferisce in particolare che il paziente è in cura presso il servizio di psichiatria del Presidio Ospedaliero di J._______ dal 2001 in quanto affetto da disturbo paranoideo e sindrome parkinsoniana, patologie che limitano severamente l'assicurato nella vita lavorativa e di relazione. Per sovrabbondanza, si rileva infine che la dott.ssa G._______ ha ribadito la diagnosi di disturbo paranoideo anche nell'aprile del 2008 (v. certificato medico del 26 aprile 2008, documento esibito in sede di replica e posteriore di sei mesi rispetto alla decisione impugnata; doc. TAF 8). In conclusione, in virtù della documentazione medica agli atti, risulta che l'insorgente soffre di un disturbo paranoideo, che lo stesso è in cura presso un servizio psichiatrico dal 2001 e che assume un trattamento farmacologico. Pertanto, a torto il dott. E._______ nei suoi rapporti ha ritenuto dal profilo psichiatrico unicamente la diagnosi di distimia, senza ripercussioni sulla capacità lavorativa, ed ha escluso la diagnosi di disturbi paranoidei, in contrasto con le chiare indicazioni contenute nei diversi documenti medici citati e ciò senza che abbia mai visitato personalmente il ricorrente. In siffatte circostanze, non soccorre l'UAIE il fatto che il dott. I._______ nel suo rapporto del 26 maggio 2008 abbia ritenuto che i disturbi paranoidei, di cui soffrirebbe il ricorrente di tanto in tanto, sarebbero di minore entità. Da un lato, questo Tribunale considera, come già il neurologo SMR nella sua presa di posizione del 24 luglio 2007, che nel caso di specie sia necessario che la portata delle limitazioni connesse con il diagnosticato disturbo paranoideo sia indicata da uno specialista psichiatra. Dall'altro lato, non è dato sapere sulla base di quali risultanze processuali idonee e sicure (perlomeno nel senso dell'abituale probabilità preponderante), il dott. I._______ possa affermare che l'insorgente soffre solo di tanto in tanto di disturbi paranoidei. Ne discende che questo Tribunale ritiene un insufficiente accertamento dei fatti anche dal profilo psichiatrico.</w:t>
      </w:r>
    </w:p>
    <w:p>
      <w:r>
        <w:rPr>
          <w:b/>
        </w:rPr>
        <w:t>E. 12</w:t>
      </w:r>
    </w:p>
    <w:p>
      <w:r>
        <w:t>Da quanto esposto, discende che la decisione impugnata, che viola il diritto federale, incorre nell'annullamento.</w:t>
      </w:r>
    </w:p>
    <w:p>
      <w:r>
        <w:rPr>
          <w:b/>
        </w:rPr>
        <w:t>E. 13</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relativamente allo stato di salute - con perizia psichiatrica, neurologica ed ogni altra che dovesse rendersi necessaria - nonché a pronunciare una nuova decisione, nella quale dovrà fra l'altro essere spiegato, se del caso, per quale ragione l'UAIE intende discostarsi dall'incapacità lavorativa del 67% postulata nella perizia E 213.</w:t>
      </w:r>
    </w:p>
    <w:p>
      <w:r>
        <w:rPr>
          <w:b/>
        </w:rPr>
        <w:t>E. 14.1</w:t>
      </w:r>
    </w:p>
    <w:p>
      <w:r>
        <w:t>Visto che il ricorso è parzialmente accolto, non sono prelevate delle spese processuali (art. 63 PA). L'anticipo equivalente alle presunte spese processuali di fr. 300.--, corrisposto con versamenti del 2 e 28 luglio 2008, è restituito al ricorrente.</w:t>
      </w:r>
    </w:p>
    <w:p>
      <w:r>
        <w:rPr>
          <w:b/>
        </w:rPr>
        <w:t>E. 14.2</w:t>
      </w:r>
    </w:p>
    <w:p>
      <w:r>
        <w:t>Ritenuto che l'insorgente è rappresentato in questa sede da un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in fr. 1'000.--, tenuto conto del lavoro effettivo ed utile, relativamente contenuto, svolto dalla patrocinatrice del ricorrente (art. 14 cpv. 2 TS-TAF), ed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