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C-823/2011 vom 18. Oktober 2011</w:t>
      </w:r>
    </w:p>
    <w:p>
      <w:r>
        <w:t>Bundesverwaltungsgericht, 2011-10-18, FR</w:t>
      </w:r>
    </w:p>
    <w:p>
      <w:r>
        <w:rPr>
          <w:b/>
        </w:rPr>
        <w:t xml:space="preserve">Quelle: </w:t>
      </w:r>
      <w:r>
        <w:t>https://mcp.opencaselaw.ch/entscheid/bvger_C-823_2011</w:t>
      </w:r>
    </w:p>
    <w:p>
      <w:r>
        <w:t>FR: TAF C-823/2011 du 18 octobre 2011</w:t>
      </w:r>
    </w:p>
    <w:p>
      <w:r>
        <w:t>IT: TAF C-823/2011 del 18 ottobre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seules applicables vu le dépôt de la demande de prestations en date du 12 octobre 2009. En l'espèce, le Tribunal peut se limiter à examiner si la recourante remplissait les conditions d'octroi d'une rente jusqu'au 9 décembre 2010, date de la décision attaquée marquant la limite dans le temps du pouvoir d'examen de l'autorité de recours (ATF 129 V 1 consid. 2.1 avec les réf.).</w:t>
      </w:r>
    </w:p>
    <w:p>
      <w:r>
        <w:rPr>
          <w:b/>
        </w:rPr>
        <w:t>E. 2.2</w:t>
      </w:r>
    </w:p>
    <w:p>
      <w:r>
        <w:t>De jurisprudence constante l'octroi d'une rente étrangère d'invalidité - ou la reconnaissance d'un taux d'invalidité par un organisme étranger - ne préjuge pas l'appréciation de l'invalidité selon la loi suisse (arrêt du Tribunal fédéral I 435/02 du 4 février 2003 consid. 2; Revue à l'intention des caisses de compensation [RCC] 1989 p. 330). Même après l'entrée en vigueur de l'accord entre la Suisse et la Communauté européenne et ses Etats membres sur la libre circulation des personnes du 21 juin 1999 (ALCP, RS 0.142.112.681), le degré d'invalidité d'un assuré qui prétend une rente de l'assurance-invalidité suisse est déterminé exclusivement d'après le droit suisse (ATF 130 V 253 consid. 2.4).</w:t>
      </w:r>
    </w:p>
    <w:p>
      <w:r>
        <w:rPr>
          <w:b/>
        </w:rPr>
        <w:t>E. 3</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La recourante a versé des cotisations à l'AVS/AI pendant plus de 3 ans et remplit donc la condition de la durée minimale de cotisations eu égard au moment de l'ouverture éventuelle du droit à la rente. Il reste à examiner si elle est invalide au sens de la LAI.</w:t>
      </w:r>
    </w:p>
    <w:p>
      <w:r>
        <w:rPr>
          <w:b/>
        </w:rPr>
        <w:t>E. 4.1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4.2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4.3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4.4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5.1</w:t>
      </w:r>
    </w:p>
    <w:p>
      <w:r>
        <w:t>La recourante, au bénéfice d'une formation d'institutrice et commerciale dans le tourisme, a travaillé en dernier lieu en France dans l'hôtellerie comme réceptionniste et dame de service jusqu'au 7 juin 2007.</w:t>
      </w:r>
    </w:p>
    <w:p>
      <w:r>
        <w:rPr>
          <w:b/>
        </w:rPr>
        <w:t>E. 5.2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5.3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6.1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6.3</w:t>
      </w:r>
    </w:p>
    <w:p>
      <w:r>
        <w:t>Pour accomplir leurs tâches les offices AI sont tenus, au stade de la procédure administrative, de confier une expertise à un médecin indépendant lorsqu'elle se révèle nécessaire pour clarifier les aspects médicaux du cas (Michel Valterio, Droit de l'assurance-vieillesse et survivants (AVS) et de l'assurance-invalidité (AI), Zurich 2011, n° 2891). Il ne faut cependant recourir à une expertise que si des moyens plus simples et économiques ne suffisent pas à se prononcer (rapports médicaux, renseignements), ou encore en présence de controverses médicales sur le cas concret (Stéphane Blanc, La procédure administrative en assurance-invalidité, Fribourg, 1999, p. 142). La jurisprudence ne requiert pas qu'il faille toujours procéder à une expertise interdisciplinaire lorsqu'une personne souffre d'atteintes à sa santé physique et psychique (Valterio, op. cit., n° 2914), et ce d'autant moins comme en l'espèce quand l'assurée ne cumule pas des atteintes physiques et psychiques. Plus pragmatiquement l'administration peut procéder à une appréciation anticipée des preuves pour juger de la non nécessité d'une expertise médicale si le dossier est complet (cf. ATF 135 V 2 consid. 1.3).</w:t>
      </w:r>
    </w:p>
    <w:p>
      <w:r>
        <w:rPr>
          <w:b/>
        </w:rPr>
        <w:t>E. 7.1</w:t>
      </w:r>
    </w:p>
    <w:p>
      <w:r>
        <w:t>En l'espèce, l'intéressée, en fin de carrière professionnelle, a cessé son activité de réceptionniste et dame de service dans l'hôtellerie début juin 2007 en raison, selon ses écritures, de difficultés de récupération et de douleurs dorsales en augmentation. Son employeur de l'époque n'a toutefois pas mentionné d'atteintes à la santé au moment du départ de l'intéressée dans son activité qualifiée de légère. Par la suite l'assurée a consulté à de nombreuses reprises le corps médical en raison de problèmes d'apnée du sommeil, de dorsalgies, lombalgies, d'une épicondylite et de douleurs aux poignets et chevilles.</w:t>
      </w:r>
    </w:p>
    <w:p>
      <w:r>
        <w:rPr>
          <w:b/>
        </w:rPr>
        <w:t>E. 7.2</w:t>
      </w:r>
    </w:p>
    <w:p>
      <w:r>
        <w:t>Selon les rapports radiographiques des 17 août et 7 novembre 2007 ainsi que du 11 mars 2009 les atteintes au rachis sont modérées, les mouvements des pieds et des mains sont dans la normalité et il n'a pas été relevé de lésion arthrosique visible. L'intéressée souffre cependant d'ostéoporose mais à un stade qui n'est pas invalidant du fait que cette atteinte n'est pas associée à des lésions osseuses. De l'avis du Dr G._______ de l'OAIE les douleurs liées à ces atteintes peuvent être sensiblement diminuées par des analgésiques et des antirhumatismaux. La Dresse H._______ de l'OAIE ne considère également pas ces atteintes comme invalidantes. Par ailleurs, l'apnée du sommeil dont souffre l'assurée est traitée favorablement de nuit sans séquelles d'asthénie ni somnolence diurne comme l'a relevé la Dresse B._______. Le rapport E 213 du 1er décembre 2008 fait état des diagnostics retenus par les médecins du service médical de l'OAIE mais conclut comme le rapport du Dr D._______ du 9 mai 2008 à une capacité de travail résiduelle de 50% toutefois pas dans l'activité exercée antérieurement. Cette appréciation ne saurait être retenue. Elle est en contradiction avec la possibilité d'exercer de façon régulière des travaux légers en position variée sans port de charge comme indiqué dans ledit rapport. Le Dr C._______ a d'ailleurs précisé dans son rapport du 10 janvier 2008 que les dorsalgies étaient sans radiculalgies et qu'il n'y avait pas de signe neurologique aux membres inférieurs. En ces circonstances, les atteintes objectivement documentées ne permettent pas de fonder une restriction dans l'activité légère de l'assurée précédemment exercée.</w:t>
      </w:r>
    </w:p>
    <w:p>
      <w:r>
        <w:rPr>
          <w:b/>
        </w:rPr>
        <w:t>E. 7.3</w:t>
      </w:r>
    </w:p>
    <w:p>
      <w:r>
        <w:t>Avec sa contestation du projet de décision et avec son recours l'intéressée n'a pas produit de rapport médical contestant les conclusions auxquelles sont parvenus les médecins du service médical de l'OAIE. Il s'ensuit que c'est à juste titre que l'OAIE n'a pas initié d'expertise médicale car rien au dossier ne fondait une telle démarche. Certes des avis contraires sur la capacité de travail résiduelle ont été formulés, mais ces appréciations n'ont pas été étayées sur le plan somatique permettant de mettre en doute l'appréciation du service médical de l'OAIE, lequel a sollicité une prise de position de deux médecins qui se sont clairement prononcés pour une pleine capacité de travail dans l'activité antérieurement exercée et implicitement pour une activité exercée au moins à un taux supérieur à 60%. Il s'ensuit que c'est à raison que l'OAIE a renoncé à une comparaison de revenus sans et avec atteintes handicapantes. Mal fondé le recours doit donc être rejeté.</w:t>
      </w:r>
    </w:p>
    <w:p>
      <w:r>
        <w:rPr>
          <w:b/>
        </w:rPr>
        <w:t>E. 8</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9.1</w:t>
      </w:r>
    </w:p>
    <w:p>
      <w:r>
        <w:t>Les frais de procédure, fixés à CHF 400.-, sont mis à la charge de la recourante (art. 63 al. 1 PA, applicable par le truchement de l'art. 37 LTAF). Ils sont compensés par l'avance de frais dont elle s'est acquittée au cours de l'instruction.</w:t>
      </w:r>
    </w:p>
    <w:p>
      <w:r>
        <w:rPr>
          <w:b/>
        </w:rPr>
        <w:t>E. 9.2</w:t>
      </w:r>
    </w:p>
    <w:p>
      <w:r>
        <w:t>Vu l'issue du litige, il n'est pas alloué d'indemnité de dépens (art. 7 al. 3 du règlement du 21 février 2008 concernant les frais, dépens et indemnités fixés par le Tribunal administratif fédéral [FITAF,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