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C-8236/2010 vom 18. April 2011</w:t>
      </w:r>
    </w:p>
    <w:p>
      <w:r>
        <w:t>Bundesverwaltungsgericht, 2011-04-18, DE</w:t>
      </w:r>
    </w:p>
    <w:p>
      <w:r>
        <w:rPr>
          <w:b/>
        </w:rPr>
        <w:t xml:space="preserve">Quelle: </w:t>
      </w:r>
      <w:r>
        <w:t>https://mcp.opencaselaw.ch/entscheid/bvger_C-8236_2010</w:t>
      </w:r>
    </w:p>
    <w:p>
      <w:r>
        <w:t>FR: TAF C-8236/2010 du 18 avril 2011</w:t>
      </w:r>
    </w:p>
    <w:p>
      <w:r>
        <w:t>IT: TAF C-8236/2010 del 18 aprile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Ur­teils 2A.451/2002 vom 28. März 2003, teilweise publiziert in BGE 129 II 215).</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Die inländischen Bestimmungen über das Visumsverfahren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4.1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4.2</w:t>
      </w:r>
    </w:p>
    <w:p>
      <w:r>
        <w:t>Im Weiteren müssen Drittstaatsangehörige den Zweck und die Um­stände ihres beabsichtigten Aufenthalts belegen und hierfür über ausrei­chende finanzielle Mittel verfügen (Art. 5 Abs. 1 Bst. b AuG, Art. 5 Abs. 1 Bst. c SGK und Art. 14 Abs. 1 Bst. a - 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4.3</w:t>
      </w:r>
    </w:p>
    <w:p>
      <w:r>
        <w:t>Das in Art. 5 Abs. 1 Bst. C SGK erwähnte Einreiseerfordernis der aus­reichenden finanziellen Mittel wird in Absatz 3 präzisiert. Danach kann die Feststellung ausreichender finanzieller Mittel anhand von Bargeld, Rei­seschecks und Kreditkarten erfolgen; ebenso können - sofern in den na­tionalen Rechtsvorschriften vorgesehen - Verpflichtungserklärungen und Bürgschaften von Gastgebern Nachweise für das Vorhandensein aus­reichender Mittel zur Bestreitung des Lebensunterhalts darstellen. Das schweizerische Ausländerrecht sieht diese und andere Sicherheiten in Art. 2 Abs. 2 sowie in Art. 7-11 VEV vor. Unter Verweis auf die Rechts­grundlage von Art. 5 SGK führt die GKI aus, welche Belege sich zum Nach­weis der Mittel zur Bestreitung des Lebensunterhalts eignen (vgl. ABl. C 326, S. 11).</w:t>
      </w:r>
    </w:p>
    <w:p>
      <w:r>
        <w:rPr>
          <w:b/>
        </w:rPr>
        <w:t>E. 5</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Vietnam zu diesen Staaten zählt, unter­liegt die Gesuchstellerin der Visums­pflicht.</w:t>
      </w:r>
    </w:p>
    <w:p>
      <w:r>
        <w:rPr>
          <w:b/>
        </w:rPr>
        <w:t>E. 6.1</w:t>
      </w:r>
    </w:p>
    <w:p>
      <w:r>
        <w:t>Die Vorinstanz verweigerte die Erteilung eines solchen Visums mit der Begründung, die anstandslose und fristgerechte Wiederausreise er­scheine nicht als hinreichend gesichert.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6.2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6.2.1</w:t>
      </w:r>
    </w:p>
    <w:p>
      <w:r>
        <w:t>Seit Vietnam im Jahr 1986 begann, sich wirtschaftlich zu öffnen (sog. Doi Moi-Politik) erlebte das Land in den folgenden zwei Jahrzehnten einen fulminanten wirtschaftlichen Aufschwung mit Wachstumsraten von zumeist über 8%. Von der Wirtschafts- und Finanzkrise 2009 hat sich Vietnam vergleichsweise schnell erholt. Wie bereits 2008 ist gegen Ende 2010 die Inflation stark angestiegen (auf ca. 12%), so dass für 2011 die Inflationsbekämpfung im Vordergrund der Wirtschaftspolitik steht (Quelle: Webseite des deutschen Auswär­tigen Amtes, www.auswaertiges-amt.de, Reise und Sicherheit &gt; Länder, Reise, Sicher­heit &gt; Vietnam &gt; Wirtschaft, Stand: März 2011, besucht im April 2011). Nebst der erfolgreichen Wirtschaftspolitik der vietnamesi­schen Regierung in den letzten Jahren spielen aber auch die Einkünfte der im Ausland arbeitenden vietnamesischen Staatsangehörigen nach wie vor eine bedeutende Rolle für die Entwicklung des Landes. Vie­le Viet­namesen wandern auf der Suche nach einer Arbeitsmög­lichkeit und einer Verbesserung ihres persönlichen und familiären Ein­kommens aus. Ungefähr 3 Mio. Vietnamesen leben im Ausland, weite­re 450'000 Vietnamesen sind im Ausland als Gelegenheitsarbei­ter tätig (Quelle: Webseite der International Organization for Migration [IOM], http://www.iom. int/jahia/Jahia/vietnam, Overview, Stand: April 2010, be­sucht im April 2011).</w:t>
      </w:r>
    </w:p>
    <w:p>
      <w:r>
        <w:rPr>
          <w:b/>
        </w:rPr>
        <w:t>E. 6.2.2</w:t>
      </w:r>
    </w:p>
    <w:p>
      <w:r>
        <w:t>Vor dem aufgezeigten Hintergrund ist von einem anhaltenden Migrationsdruck vorab in Kreisen jüngerer, arbeitsfähiger Men­schen auszugehen. Der Trend zur Aus­wanderung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6.3</w:t>
      </w:r>
    </w:p>
    <w:p>
      <w:r>
        <w:t>Bei der Risikoanalyse sind aber nicht nur solch allgemeine Um­stände und Erfahrungen, sondern auch sämtliche Gesichtspunkte des konkreten Einzelfalles zu berücksichtigen. Obliegt einem Gesuchsteller oder einer Gesuchstellerin im Heimatland beispielsweise eine beson­dere berufliche, gesellschaftliche oder familiäre Verantwortung, kann dieser Umstand durchaus die Prognose für eine anstandslose Wieder­ausreise begünstigen. Umgekehrt muss bei Gesuchstellern, die in ih­rer Heimat keine besonderen Verpflichtungen haben, das Risiko für ein fremdenpolizeilich nicht vorschriftsgemässes Verhalten (nach bewillig­ter Einreise zu einem Besuchsaufenthalt) hoch eingeschätzt werden.</w:t>
      </w:r>
    </w:p>
    <w:p>
      <w:r>
        <w:rPr>
          <w:b/>
        </w:rPr>
        <w:t>E. 7.1</w:t>
      </w:r>
    </w:p>
    <w:p>
      <w:r>
        <w:t>Bei der Gesuchstellerin handelt es sich um eine bald 19-jährige, kinderlose und unverheiratete Frau. Gemäss den Akten leben in Vietnam auch ihre Eltern sowie drei der insgesamt vier Geschwister. Der Beschwerdeführer weist in seiner Rechtsmitteleingabe zwar darauf hin, die Gesuchstellerin sei für ihre Eltern verantwortlich; diese seien auf sie angewiesen, versäumt es aber, diese Ausführungen zu konkretisieren. Es muss somit offen gelassen werden, wie sich die Verantwortung der Gesuchstellerin gegenüber ihren Eltern äussert. Aufgrund der Tatsache, dass die Gesuchstellerin eine dreimonatige Auslandabwesenheit plant, kann jedenfalls nicht angenommen werden, ihre Präsenz vor Ort sei zwingend. Auch der Umstand, dass noch zwei Schwestern der Gesuchstellerin in derselben Stadt wie ihre Eltern leben, lässt darauf schliessen, die Eltern seien auch während der Abwesenheit der Gesuchstellerin nicht auf sich alleine gestellt.</w:t>
      </w:r>
    </w:p>
    <w:p>
      <w:r>
        <w:rPr>
          <w:b/>
        </w:rPr>
        <w:t>E. 7.2</w:t>
      </w:r>
    </w:p>
    <w:p>
      <w:r>
        <w:t>Die Gesuchstellerin gibt im Antrag auf Erteilung eines Schengen-Visums unter den Rubriken "derzeitige berufliche Tätigkeit" sowie "Arbeitgeber" an, sie erledige zu Hause die Hausarbeit. An anderer Stelle wird ausgeführt, sie sei Schülerin ohne Nachweis eines Jahresabschlusses im Jahr 2009 (vgl. Schreiben der schweizerischen Vertretung [Überlegungen zum Entscheid] vom 21. Juli 2010). Aufgrund dieser Angaben kann nicht davon ausgegangen werden, sie befinde sich in einer günstigen wirtschaftlichen Situation, die sie nachhaltig von einer möglichen Emigration abhalten könnte. Im Übrigen kann auch nicht abgeschätzt werden, wie sich die zukünftige Situation der Gesuchstellerin in ihrem Heimatland nach Absolvierung eines Deutschkurses darstellen würde. Es versteht sich jedoch von selbst, dass ein solcher Kurs nicht zwingend in der Schweiz absolviert werden muss. Die schweizerische Vertretung erwähnt in diesem Zusammenhang in ihrem Schreiben vom 21. Juli 2010 denn auch das Goethe Institut in Vietnam, welches in den Städten Hanoi sowie Ho Chi Minh City ausgezeichnete Deutschkurse anbietet (vgl. dazu ausführlich http.// www.goethe.de/ins/vn/ han/deindex.htm).</w:t>
      </w:r>
    </w:p>
    <w:p>
      <w:r>
        <w:rPr>
          <w:b/>
        </w:rPr>
        <w:t>E. 7.3</w:t>
      </w:r>
    </w:p>
    <w:p>
      <w:r>
        <w:t>Aufgrund obgenannter Ausführungen sind bei der Gesuchstellerin keine eigentlichen Verpflichtungen oder Bindungen erkennbar, welche die Eingeladene verlässlich von einer Emigration abzuhalten vermöchten. Kommt hinzu, dass sie mit ihrer hierzulande lebenden Schwester und deren Familie bereits über Bezugspersonen in der Schweiz verfügt.</w:t>
      </w:r>
    </w:p>
    <w:p>
      <w:r>
        <w:rPr>
          <w:b/>
        </w:rPr>
        <w:t>E. 8</w:t>
      </w:r>
    </w:p>
    <w:p>
      <w:r>
        <w:t>Gemäss diesen Erwägungen durfte die Vorinstanz zu Recht davon ausge­hen, die fristgerechte Wiederausreise sei nicht hin­reichend gewährleis­tet. Zwar lässt sich diese Prognose nicht zu ei­ner gesicherten Feststel­lung verdichten; sie genügt jedoch, um die Er­teilung einer Einreise­bewilligung, auf welche ohnehin kein Rechts­anspruch besteht, abzu­lehnen.</w:t>
      </w:r>
    </w:p>
    <w:p>
      <w:r>
        <w:rPr>
          <w:b/>
        </w:rPr>
        <w:t>E. 9</w:t>
      </w:r>
    </w:p>
    <w:p>
      <w:r>
        <w:t>An der Richtigkeit dieser Einschätzung ändert auch die Tatsache nichts, dass der Beschwerdeführer die rechtzeitige Rückkehr seiner Schwägerin mehrmals zugesichert hat. Die Integrität des Beschwerdeführers und seiner Ehefrau in ihrer Eigenschaft als Gastgeber wird auch gar nicht in Zweifel gezogen. Indessen sind bei der Abwägung des Risikos einer nicht fristgerechten Wiederausreise nicht so sehr die Einstellung und die Ab­sichten der Gastgeber, sondern in erster Linie das mögliche Verhalten des Gastes selbst von Bedeutung. Nur Letzterer ist in der Lage, hinrei­chend Ge­währ für eine fristgerechte und anstandslo­se Wiederausreise zu bie­ten. Der Gastgeber kann - wie dies in casu mit der Unterzeichnung der Verpflichtungserklärung am 6. September 2010 geschehen ist -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BVGE 2009/27 E. 9). Auch der geltend gemachten Einwand, dass ihm im Zusammenhang mit der Einladung seiner Schwägerin diverse Kosten entstanden seien, kann nicht gehört werden, hätte doch dem Beschwerdeführer das Risiko eines negativen Visumentscheids von Anfang an bewusst sein sollen.</w:t>
      </w:r>
    </w:p>
    <w:p>
      <w:r>
        <w:rPr>
          <w:b/>
        </w:rPr>
        <w:t>E. 10</w:t>
      </w:r>
    </w:p>
    <w:p>
      <w:r>
        <w:t>Aus diesen Darlegungen folgt, dass die angefochtene Verfügung im Ergebnis rechtmässig ist (Art. 49 VwVG). Die Beschwerde ist demzufolge abzuwei­sen.</w:t>
      </w:r>
    </w:p>
    <w:p>
      <w:r>
        <w:rPr>
          <w:b/>
        </w:rPr>
        <w:t>E. 11</w:t>
      </w:r>
    </w:p>
    <w:p>
      <w:r>
        <w:t>Entsprechend dem Ausgang des Verfahrens wird der unter­liegende Be­schwerdeführer kostenpflichtig (Art. 63 Abs. 1 VwVG). Die Ver­fahrenskos­ten sind auf Fr. 700.- festzusetzen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