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C-822/2014 vom 25. Juli 2016</w:t>
      </w:r>
    </w:p>
    <w:p>
      <w:r>
        <w:t>Bundesverwaltungsgericht, 2016-07-25, DE</w:t>
      </w:r>
    </w:p>
    <w:p>
      <w:r>
        <w:rPr>
          <w:b/>
        </w:rPr>
        <w:t xml:space="preserve">Quelle: </w:t>
      </w:r>
      <w:r>
        <w:t>https://mcp.opencaselaw.ch/entscheid/bvger_C-822_2014</w:t>
      </w:r>
    </w:p>
    <w:p>
      <w:r>
        <w:t>FR: TAF C-822/2014 du 25 juillet 2016</w:t>
      </w:r>
    </w:p>
    <w:p>
      <w:r>
        <w:t>IT: TAF C-822/2014 del 25 luglio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29. Oktober 2013, mit dem die Vorinstanz die mit Verfügung vom 15. Juli 2013 neu festgesetzte Altersrente von Fr. 1'223.- ab 1. Juni 2013 bestätigt hat. Strittig und vom Bundesverwaltungsgericht zu prüfen ist die Höhe der Altersrente des Beschwerdeführers.</w:t>
      </w:r>
    </w:p>
    <w:p>
      <w:r>
        <w:rPr>
          <w:b/>
        </w:rPr>
        <w:t>E. 3.1</w:t>
      </w:r>
    </w:p>
    <w:p>
      <w:r>
        <w:t>Der Beschwerdeführer ist portugiesischer Staatsangehöriger und wohnt heute in Portugal,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der Anspruch des Beschwerdeführers auf eine Rente der AHV nach dem internen schweizerischen Recht.</w:t>
      </w:r>
    </w:p>
    <w:p>
      <w:r>
        <w:rPr>
          <w:b/>
        </w:rPr>
        <w:t>E. 3.2</w:t>
      </w:r>
    </w:p>
    <w:p>
      <w:r>
        <w:t>In zeitlicher Hinsicht sind grundsätzlich diejenigen materiellen Rechts-sätze massgebend, die bei der Erfüllung des zu Rechtsfolgen führenden Tatbestandes Geltung hatten (BGE 130 V 445 E. 1.2.1; 127 V 466 E. 1; 126 V 134 E. 4b). Die Frage, ob die Vorinstanz die Neuberechnung der Altersrente des Beschwerdeführers korrekt durchgeführt hat, beurteilt sich somit grundsätzlich nach den im Mai 2013 (Todesfall der Ehefrau) gültigen Bestimmungen des AHVG und der AHVV (SR 831.101).</w:t>
      </w:r>
    </w:p>
    <w:p>
      <w:r>
        <w:rPr>
          <w:b/>
        </w:rPr>
        <w:t>E. 4.1</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4.2</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Dabei bestimmt sich die Beitragsdauer einer versicherten Person in der Regel nach den Einträgen in ihren individuellen Konten (Art. 30ter AHVG).</w:t>
      </w:r>
    </w:p>
    <w:p>
      <w:r>
        <w:rPr>
          <w:b/>
        </w:rPr>
        <w:t>E. 4.3</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(Bst. a). Wenn beide Ehegatten Anspruch auf eine Altersrente haben, beträgt die Summe der beiden Renten eines Ehepaares maximal 150 Prozent des Höchstbetrages der Altersrente (Art. 35 Abs. 1 Bst. a AHVG). Damit kommt es gegebenenfalls zu einer proportionalen Kürzung der beiden Einzelrenten, der sogenannten Rentenplafonierung. Diese beginnt im Monat nach dem zweiten Versicherungsfall oder der Heirat zweier AHV/IV-Rentner (Marco Reichmuth, AHV-Renten, in: Recht der sozialen Sicherheit, Handbücher für die Anwaltspraxis, Band XI, 2014, S. 881 Rz. 24.126). Verliert eine Person, die eine Altersrente bezieht, ihren Ehepartner, der ebenfalls Rentenbezüger war, so entfällt ab dem Folgemonat die Plafonierung (Reichmuth, a.a.O., S. 882 Rz. 24.135).</w:t>
      </w:r>
    </w:p>
    <w:p>
      <w:r>
        <w:rPr>
          <w:b/>
        </w:rPr>
        <w:t>E. 4.4</w:t>
      </w:r>
    </w:p>
    <w:p>
      <w:r>
        <w:t>Gemäss Art. 35bis AHVG haben verwitwete Bezügerinnen und Bezüger von Altersrenten Anspruch auf einen Zuschlag von 20 % zu ihrer Rente, wobei die Rente und der Zuschlag den Höchstbetrag der Altersrente der jeweils anwendbaren Rentenskala nicht übersteigen dürfen (BGE 132 V 265 E. 3).</w:t>
      </w:r>
    </w:p>
    <w:p>
      <w:r>
        <w:rPr>
          <w:b/>
        </w:rPr>
        <w:t>E. 5.1</w:t>
      </w:r>
    </w:p>
    <w:p>
      <w:r>
        <w:t>Der 1946 geborene Beschwerdeführer hat seit dem 1. Februar 2011 Anspruch auf eine ordentliche Altersrente auf der Basis einer unvollständigen Beitragsdauer von 23 Jahren und 10 Monaten sowie einem massgebenden Durchschnittseinkommen von Fr. 62'640.- (Verfügung vom 24. Januar 2011). Nachdem der Versicherungsfall Alter bei der Ehefrau des Beschwerdeführers infolge einjährigen Vorbezugs am 1. Januar 2013 eingetreten war, nahm die Vorinstanz zu Recht eine Aufteilung der Einkommen der Ehegatten während der gemeinsamen Ehe (Einkommenssplitting) sowie eine Plafonierung vor und setzte die Altersrente des Beschwerdeführers neu auf Fr. 955.­- fest. Durch das Einkommenssplitting erhöhte sich das massgebende durchschnittliche Jahreseinkommen leicht auf Fr. 63'180.-.</w:t>
      </w:r>
    </w:p>
    <w:p>
      <w:r>
        <w:rPr>
          <w:b/>
        </w:rPr>
        <w:t>E. 5.2</w:t>
      </w:r>
    </w:p>
    <w:p>
      <w:r>
        <w:t>Das Versterben der Ehefrau des Beschwerdeführers im Mai 2013 hatte zunächst zur Folge, dass ihr Rentenanspruch per 31. Mai 2013 endete, da der Anspruch auf eine Altersrente mit dem Tod des Berechtigten erlischt (Art. 21 Abs. 2 Satz 2 AHVG). Die von der Ehefrau in den Jahren 1985 bis 2005 geleisteten Beiträge an die schweizerische AHV können nicht zurückgefordert werden (vgl. dazu Art. 18 Abs. 3 AHVG und die Verordnung über die Rückvergütung der von Ausländern an die Alters- und Hinterlassenenversicherung bezahlten Beiträge [RV-AHV, SR 831.131.12). Soweit der Beschwerdeführer einen Anspruch auf die Altersrente bzw. die geleisteten AHV-Beiträge seiner verstorbenen Ehefrau geltend macht, ist die Beschwerde unbegründet. Es ist zudem darauf hinzuweisen, dass der Tod der Ehefrau keinen Anspruch des Beschwerdeführers auf eine Witwerrente begründete. Anspruch auf eine Witwerrente hat ein Mann, dessen Ehefrau gestorben ist, nur dann, wenn er Kinder unter 18 Jahren hat (Art. 23 Abs. 1-2 und Art. 24 Abs. 2 AHVG), was hier nicht der Fall ist.</w:t>
      </w:r>
    </w:p>
    <w:p>
      <w:r>
        <w:rPr>
          <w:b/>
        </w:rPr>
        <w:t>E. 5.3</w:t>
      </w:r>
    </w:p>
    <w:p>
      <w:r>
        <w:t>Weitere Folge des Hinschieds der Ehefrau war, dass die Altersrente des Beschwerdeführers per 1. Juni 2013 neu berechnet und festgesetzt werden musste. Im Folgenden ist diese Neufestsetzung zu überprüfen. Dabei ist beachten, dass die im Zeitpunkt der erstmaligen Rentenberechnung geltenden Berechnungsvorschriften massgebend bleiben (vgl. Reichmuth, a.a.O., S. 884 Rz. 24.143). Die Überprüfung beschränkt sich im vorliegenden Fall insbesondere auf die Frage, ob die Vorinstanz den Wegfall der Plafonierung und einen allfälligen Anspruch auf einen Verwitwetenzuschlag berücksichtigt hat.</w:t>
      </w:r>
    </w:p>
    <w:p>
      <w:r>
        <w:rPr>
          <w:b/>
        </w:rPr>
        <w:t>E. 5.4</w:t>
      </w:r>
    </w:p>
    <w:p>
      <w:r>
        <w:t>Die Vorinstanz hat der umstrittenen Neuberechnung der Altersrente wie bereits bei der ursprünglichen Rentenberechnung eine Beitragsdauer von 23 Jahren und 10 Monaten angerechnet. Zwar weist der IK-Auszug des Beschwerdeführers eine Beitragsdauer von 23 Jahren und 6 Monaten aus, das wirkt sich vorliegend aber ohnehin nicht auf den Rentenanspruch aus (act. 37). Versicherte des Jahrgangs 1946 weisen bei Eintritt des Versicherungsfalls im Jahr 2011 bei vollständiger Beitragsdauer 44 Versicherungsjahre auf (vgl. die vom Bundesamt für Sozialversicherungen [BSV] herausgegebenen Rententabellen 2011). Gemäss dem Skalenwähler ist bei 23 vollen Beitragsjahren die Rentenskala 23 zur Rentenberechnung heranzuziehen.</w:t>
      </w:r>
    </w:p>
    <w:p>
      <w:r>
        <w:rPr>
          <w:b/>
        </w:rPr>
        <w:t>E. 5.5</w:t>
      </w:r>
    </w:p>
    <w:p>
      <w:r>
        <w:t>Die dem Beschwerdeführer zugesprochene Rente von monatlich Fr. 1'223.­- entspricht dem Höchstbetrag der Rentenskala 23. Die Vorinstanz hat somit auch den Verwitwetenzuschlag gemäss Art. 35bis AHVG berücksichtigt, da bei einem massgebenden durchschnittlichen Einkommen von Fr. 67'392.- ohne Verwitwetenzuschlag nur ein Anspruch auf eine Rente von Fr. 1'106.-­ bestünde. Folglich besteht auch keine Kürzung mehr infolge Rentenplafonierung. Auf die Überprüfung des massgebenden durchschnittlichen Jahreseinkommens kann verzichtet werden, zumal bereits die Höchstrente gewährt wird und ein höheres durchschnittliches Jahreseinkommen zu keinem höheren Rentenanspruch führen würde. Die Neufestsetzung der Altersrente ist damit nicht zu beanstanden.</w:t>
      </w:r>
    </w:p>
    <w:p>
      <w:r>
        <w:rPr>
          <w:b/>
        </w:rPr>
        <w:t>E. 6</w:t>
      </w:r>
    </w:p>
    <w:p>
      <w:r>
        <w:t>Zusammenfassend ist deshalb festzuhalten, dass die Vorinstanz die Altersrente des Beschwerdeführers korrekt neu festgesetzt hat. 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