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C-8229/2008 vom 8. Juli 2009</w:t>
      </w:r>
    </w:p>
    <w:p>
      <w:r>
        <w:t>Bundesverwaltungsgericht, 2009-07-08, DE</w:t>
      </w:r>
    </w:p>
    <w:p>
      <w:r>
        <w:rPr>
          <w:b/>
        </w:rPr>
        <w:t xml:space="preserve">Quelle: </w:t>
      </w:r>
      <w:r>
        <w:t>https://mcp.opencaselaw.ch/entscheid/bvger_C-8229_2008</w:t>
      </w:r>
    </w:p>
    <w:p>
      <w:r>
        <w:t>FR: TAF C-8229/2008 du 8 juillet 2009</w:t>
      </w:r>
    </w:p>
    <w:p>
      <w:r>
        <w:t>IT: TAF C-8229/2008 del 8 luglio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3.1</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Die vorliegende Streitsache untersteht somit grundsätzlich dem neuen Recht, sofern dessen Anwendung nicht zur echten Rückwirkung führt. Eine solche ist nur ausnahmsweise und gestützt auf eine ausdrückliche gesetzliche Grundlage zulässig, die in der intertemporalen Regel des Art. 126 AuG jedoch nicht erblickt werden kann (vgl. dazu Urteil des Bundesgerichts 2A.242/2001 vom 26. Oktober 2001 E. 3b mit Hinweisen).</w:t>
      </w:r>
    </w:p>
    <w:p>
      <w:r>
        <w:rPr>
          <w:b/>
        </w:rPr>
        <w:t>E. 3.2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ANAG. Es kann nach Art. 67 Abs. 1 AuG vom BFM über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4.2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1 Bst. a AuG bildet den Oberbegriff für die Gesamtheit der polizeilichen Schutzgüter. Sie umfasst unter anderem die Unverletzlichkeit der objektiven Rechtsordnung und der Rechtgüter Einzelner (BBl 2002 3809; vgl. auch RAINER J. SCHWEIZER / PATRICK SUTTER / 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das Betäubungsmittelgesetz fallen ohne weiteres unter diese Begriffsbestimmung und können als solche ein Einreiseverbot nach sich ziehen (zum Ganzen vgl. Urteil des Bundesverwaltungsgerichts C-1684/2008 vom 28. Oktober 2008 E. 4.1 - 4.3). Verurteilungen zu Freiheitsstrafen wegen Drogendelikten führten denn schon nach altem Recht regelmässig zur Anordnung einer Einreisesperre (siehe beispielsweise Urteile des Bundesverwaltungsgerichts C-1401/2008 vom 20. August 2008 E. 5.2, C-8211/2007 vom 16. Mai 2008 E. 5.2 oder C-137/2006 vom 31. März 2008 E. 6.8). Hat eine Person im Ausland Straftaten begangen, so kann aus präventiven Gründen eine Fernhaltemassnahme ausgesprochen werden, sofern ein Bezug zur Schweiz besteht (vgl. BBl 2002 3813; Urteil des Bundesverwaltungsgerichts C-6528/2008 vom 14. Mai 2009 E. 5.2).</w:t>
      </w:r>
    </w:p>
    <w:p>
      <w:r>
        <w:rPr>
          <w:b/>
        </w:rPr>
        <w:t>E. 5.1</w:t>
      </w:r>
    </w:p>
    <w:p>
      <w:r>
        <w:t>Laut den Urteilen des Kollegialgerichts Amsterdam vom 1. April 2004 und des Bezirksgerichts Zürich vom 25. Oktober 2006 hat sich der selber nicht drogenabhängige Beschwerdeführer in zwei zeitlich getrennten Phasen (2001 bzw. 2003) wiederholt am Handel mit grossen Mengen von Betäubungsmitteln beteiligt, was Freiheitsstrafen von insgesamt siebeneinhalb Jahren nach sich zog. Aus fremdenpolizeilicher Sicht negativ ins Gewicht fällt vor allem, dass er Heroin und Kokain in einem Umfang umsetzte (30 Kilogramm bzw. 5,3 Kilogramm, bei jeweils unbekanntem Reinheitsgrad), der die Grenze zum schweren Fall im Sinne von Art. 19 Ziff. 2 Bst. a BetmG bei weitem überschritt (siehe dazu BGE 109 IV 143 E. 3b S. 144 f.). Kommt hinzu, dass der Beschwerdeführer gemäss dem letztgenannten Strafurteil im Drogenhandel auf eher oberer Hierarchiestufe anzusiedeln ist und er seine deliktische Tätigkeit wie einen Beruf ausübte. Dementsprechend erachtete das Bezirksgericht Zürich sein Verschulden als schwer.</w:t>
      </w:r>
    </w:p>
    <w:p>
      <w:r>
        <w:rPr>
          <w:b/>
        </w:rPr>
        <w:t>E. 5.2</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BetmG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BGE 125 ll 521 E. 4a S. 526 oder die Urteile des Bundesverwaltungsgerichts C-1401/2008 vom 20. August 2008 E. 5.2, C-8211/2007 vom 16. Mai 2008 E. 5.2, C-137/2006 vom 31. März 2008 E. 6.8 und C-88/2006 vom 13. Juni 2007 E. 5.3). Der erforderliche Bezug zur Schweiz ist auch mit Blick auf das Urteil des Kollegialgerichts Amsterdam vom 1. April 2004 offenkundig vorhanden, gilt der Handel mit harten Drogen doch sowohl nach niederländischem als auch nach schweizerischem Recht als eine sehr gravierende Straftat (siehe dazu Urteil des Bundesgerichts 2C_858/2008 vom 24. April 2009 E. 5.1 oder Urteil des Bundesverwaltungsgerichts C-6528/2008 vom 14. Mai 2009 E. 6.4). Die Voraussetzungen für eine Fernhaltemassnahme gemäss Art. 67 Abs. 1 Bst. a AuG sind somit zweifelsohne erfüllt, was auch der Parteivertreter nicht in Abrede stellt.</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6.1</w:t>
      </w:r>
    </w:p>
    <w:p>
      <w:r>
        <w:t>Mit Blick auf die Dauer der verhängten Massnahme von Belang erscheint in erster Linie der mit den Urteilen des Kollegialgerichts Amsterdam und des Bezirksgerichts Zürich geahndete Handel mit Heroin und Kokain. Das diesbezügliche Fehlverhalten des Beschwerdeführers wiegt aus präventivpolizeilicher Sicht schwer, war er doch aus rein finanziellen Motiven bereit, auf diese Weise die Gesundheit einer Vielzahl von Menschen erheblichen gesundheitlichen Gefahren auszusetzen. Ein denkbar schlechtes Licht auf ihn wirft ebenfalls, dass er sich durch seine Stellung als Ehemann und Vater von (damals) zwei Kindern nicht von seinem strafbaren Verhalten hat abhalten lassen. Vor diesem Hintergrund musste er wie angetönt (siehe E. 5.2 hiervor) generell damit rechnen, aus spezifisch ausländerrechtlicher Sicht über Jahre hinweg als Risikofaktor für die öffentliche Sicherheit und Ordnung betrachtet zu werden.</w:t>
      </w:r>
    </w:p>
    <w:p>
      <w:r>
        <w:rPr>
          <w:b/>
        </w:rPr>
        <w:t>E. 6.2</w:t>
      </w:r>
    </w:p>
    <w:p>
      <w:r>
        <w:t>Was den Hinweis auf die Verfügung des Justizvollzugs des Kantons Zürich vom 29. Juli 2008 betreffend bedingter Entlassung anbelangt, so lässt sich damit die Angemessenheit des Einreiseverbots in seiner zeitlichen Dauer nicht ernsthaft in Frage stellen. Zum einen war das Verhalten des Beschwerdeführers im Strafvollzug der vorerwähnten Verfügung zufolge keineswegs klaglos, zum anderen äusserte sich die Strafvollzugsbehörde des Kantons Zürich zu den Prognosen weit vorsichtiger und zurückhaltender als dies der Parteivertreter in der Beschwerdeschrift vom 22. Dezember 2008 wiederzugeben versucht. Zu bedenken gilt es ferner, dass für die Berechnung der Dauer des klaglosen Verhaltens nicht auf den Begehungs- oder Urteilszeitpunkt abzustellen ist. Von vorrangiger Bedeutung ist stattdessen, wie lange sich eine straffällig gewordene Person nach ihrer Entlassung aus der Haft in Freiheit bewährt hat (vgl. BVGE 2008/24 E. 4.3 und 6.2). Die Entlassung aus dem Strafvollzug erfolgte vorliegend erst am 16. September 2008. Mit Blick auf die vom Beschwerdeführer verletzten Rechtsgüter erweist sich die seit seiner Haftentlassung abgelaufene Bewährungszeit mithin als viel zu kurz, als dass schon in unmittelbarer oder mittelbarer Zukunft von einer grundlegenden und gefestigten Wandlung ausgegangen werden könnte (vgl. BGE 130 II 493 E. 5 S. 504). Aus den dargelegten Gründen erscheint die Anwendung eines strengen Massstabs gerechtfertigt und zum heutigen Zeitpunkt ein öffentliches Interesse an einer langjährigen (und nicht, wie beantragt, maximal fünfjährigen) Fernhaltemassnahme gerechtfertigt.</w:t>
      </w:r>
    </w:p>
    <w:p>
      <w:r>
        <w:rPr>
          <w:b/>
        </w:rPr>
        <w:t>E. 6.3</w:t>
      </w:r>
    </w:p>
    <w:p>
      <w:r>
        <w:t>Schliesslich verweist der Rechtsvertreter auf die engen familiären Bindungen des Beschwerdeführers zur Schweiz sowie auf die Situation von dessen Ehefrau und den mittlerweile vier gemeinsamen Kindern. In vorliegendem Zusammenhang können allfällige Einschränkungen des Privat- bzw. Familienlebens des Beschwerdeführers aufgrund sachlicher und funktioneller Unzuständigkeit des Bundesverwaltungsgerichts nicht Verfahrensgegenstand sein, soweit jene auf das Fehlen eines dauerhaften Aufenthaltsrechts in der Schweiz zurückzuführen sind (siehe Urteile des Bundesverwaltungsgerichts C-1401/2008 vom 20. August 2008 E. 6.5, C-8561/2007 vom 18. Juni 2008 E. 7.4 oder C-137/2006 vom 31. März 2008 E. 6.4). Die Erteilung von Aufenthaltsbewilligungen fällt grundsätzlich in die Zuständigkeit der Kantone, wobei im Falle einer Bewilligungserteilung auch das bestehende Einreiseverbot aufzuheben wäre (vgl. Urteil des Bundesgerichts 2C_793/2008 vom 27. März 2009 E. 3.2). Der Beschwerdeführer scheint sich bewusst, dass die Schweizer Migrationsbehörden sich wegen seiner Delinquenz bis auf Weiteres nicht zu einer Anwesenheitsregelung bereit erklären werden. Er hat sich deshalb mit seiner Familie in Belgrad niedergelassen. Ehefrau und Kinder möchten allerdings in einigen Jahren bzw. laut Replik möglichst bald wieder in der Schweiz Wohnsitz nehmen. Nach Darstellung des Rechtsvertreters werden die vier Kinder ihren Schulabschluss mit Sicherheit in der Schweiz absolvieren. Angesichts seiner Ehe und der daraus resultierenden verwandtschaftlichen Beziehungen zu hier lebenden Personen dürfte der Beschwerdeführer - auch im Hinblick auf eine allfällige spätere Rückkehr seiner Familie in die Schweiz - tatsächlich ein beträchtliches Interesse daran haben, diese persönlichen Beziehungen weiter zu pflegen. Zudem ist grundsätzlich verständlich, wenn er seine Familie bei deren Reisen in die Schweiz begleiten möchte. Von daher stellt sich die Frage, ob die über die Verweigerung des Aufenthalts hinausgehende, durch das langjährige Einreiseverbot zusätzlich erwirkte Erschwernis vor Art. 13 Abs. 1 der Bundesverfassung der Schweizerischen Eidgenossenschaft vom 18. April 1999 (BV, SR 101) und Art. 8 der Konvention vom 4. November 1950 zum Schutze der Menschenrechte und Grundfreiheiten (EMRK, SR 0.101) standhält.</w:t>
      </w:r>
    </w:p>
    <w:p>
      <w:r>
        <w:rPr>
          <w:b/>
        </w:rPr>
        <w:t>E. 6.4</w:t>
      </w:r>
    </w:p>
    <w:p>
      <w:r>
        <w:t>Die Wirkungen des Einreiseverbots bestehen nicht darin, dass dem Beschwerdeführer während dessen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Art. 67 Abs. 4 AuG). Die Suspension wird aber praxisgemäss nur für eine kurze und klar begrenzte Zeit gewährt (zum Ganzen siehe Urteile des Bundesverwaltungsgerichts C-1401/2008 vom 20. August 2008 E. 6.5, C-8561/2007 vom 18. Juni 2008 E. 7.4 oder C-1331/2006 vom 9. April 2008 E. 4.1.4). Im dargelegten Umfang und Rahmen kann den geltend gemachten privaten Interessen der nächsten Angehörigen Rechnung getragen werden. Ob in diesem, in erster Linie administrativen Erschwernis bereits ein rechtfertigungsbedürftiger Eingriff in das Familienleben begründet ist, kann offen bleiben. Selbst wenn von einem unter dem Gesichtspunkt von Art. 13 Abs. 1 BV und Art. 8 EMRK relevanten Eingriff ausgegangen würde, wäre eine Störung des Familienlebens in Anbetracht der aktuellen Situation geringfügig. Ein Eingriff in eine geschützte Rechtsposition wäre unter den konkreten Begebenheiten gestützt auf Art. 8 Ziff. 2 EMRK im Übrigen ohnehin als zulässig zu betrachten.</w:t>
      </w:r>
    </w:p>
    <w:p>
      <w:r>
        <w:rPr>
          <w:b/>
        </w:rPr>
        <w:t>E. 6.5</w:t>
      </w:r>
    </w:p>
    <w:p>
      <w:r>
        <w:t>Bei dieser Sachlage erweist sich das zehnjährige Einreiseverbot unter Berücksichtigung der gängigen Praxis in vergleichbaren Fällen von Betäubungsmitteldelinquenz als verhältnismässig und angemessen.</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