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C-821/2006 vom 2. November 2007</w:t>
      </w:r>
    </w:p>
    <w:p>
      <w:r>
        <w:t>Bundesverwaltungsgericht, 2007-11-02, FR</w:t>
      </w:r>
    </w:p>
    <w:p>
      <w:r>
        <w:rPr>
          <w:b/>
        </w:rPr>
        <w:t xml:space="preserve">Quelle: </w:t>
      </w:r>
      <w:r>
        <w:t>https://mcp.opencaselaw.ch/entscheid/bvger_C-821_2006</w:t>
      </w:r>
    </w:p>
    <w:p>
      <w:r>
        <w:t>FR: TAF C-821/2006 du 2 novembre 2007</w:t>
      </w:r>
    </w:p>
    <w:p>
      <w:r>
        <w:t>IT: TAF C-821/2006 del 2 novembre 2007</w:t>
      </w:r>
    </w:p>
    <w:p>
      <w:pPr>
        <w:pStyle w:val="Heading2"/>
      </w:pPr>
      <w:r>
        <w:t>Regeste</w:t>
      </w:r>
    </w:p>
    <w:p>
      <w:r>
        <w:t>Entrée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Fr. 600.-, sont mis à la charge des recourants. Cette somme est compensée par l'avance de frais du même montant versée le 5 octobre 2006.</w:t>
      </w:r>
    </w:p>
    <w:p>
      <w:r>
        <w:rPr>
          <w:b/>
        </w:rPr>
        <w:t>E. 3</w:t>
      </w:r>
    </w:p>
    <w:p>
      <w:r>
        <w:t>Le présent arrêt est adressé : - au mandataire des recourants (Recommandé) - à l'autorité inférieure, avec dossier n° 1 984 289 en retour. Le président du collège : La greffière : Bernard Vaudan Claudine Schenk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