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C-8213/2008 vom 28. April 2010</w:t>
      </w:r>
    </w:p>
    <w:p>
      <w:r>
        <w:t>Bundesverwaltungsgericht, 2010-04-28, FR</w:t>
      </w:r>
    </w:p>
    <w:p>
      <w:r>
        <w:rPr>
          <w:b/>
        </w:rPr>
        <w:t xml:space="preserve">Quelle: </w:t>
      </w:r>
      <w:r>
        <w:t>https://mcp.opencaselaw.ch/entscheid/bvger_C-8213_2008</w:t>
      </w:r>
    </w:p>
    <w:p>
      <w:r>
        <w:t>FR: TAF C-8213/2008 du 28 avril 2010</w:t>
      </w:r>
    </w:p>
    <w:p>
      <w:r>
        <w:t>IT: TAF C-8213/2008 del 28 aprile 2010</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 à l'exception de la question portant sur le taux d'invalidité, de 70% plutôt que de 100%, et cela pour les motifs indiqués dans la réponse au recours de l'OAIE.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3</w:t>
      </w:r>
    </w:p>
    <w:p>
      <w:r>
        <w:t>Selon l'art. 36 al. 2 LAI, les dispositions de la loi fédérale du 20 décembre 1946 sur l'assurance-vieillesse et survivants (LAVS, RS 831.10) sont applicables par analogie au calcul des rentes ordinaires. Par arrêt du 11 juin 2008, le Tribunal de céans a reconnu à l'intéressée le droit à une rente entière d'invalidité à compter du 1er janvier 2006 compte tenu de la date de sa demande de rente, soit le 30 janvier 2007, et a établi la date de la survenance du cas d'assurance au 31 décembre 2004 en application de l'art. 29 al. 1 let. b LAI dans sa teneur jusqu'au 31 décembre 2007 (délai d'attente d'une année à compter du début de l'incapacité de travail). Il s'ensuit que les bases de calcul déterminantes de la LAVS sont celles de décembre 2004 indexées au 1er janvier 2006 suivies des adaptations du montant de la rente aux 1er janvier 2007 et 2009.</w:t>
      </w:r>
    </w:p>
    <w:p>
      <w:r>
        <w:rPr>
          <w:b/>
        </w:rPr>
        <w:t>E. 4.1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cas échéant ouverture du droit à une rente d'invalidité en application de l'art. 29 al. 2 LAI dans sa teneur jusqu'au 31 décembre 2007).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5.2</w:t>
      </w:r>
    </w:p>
    <w:p>
      <w:r>
        <w:t>En l'espèce les revenus pris en compte par l'OAIE pour la recourante relativement à sa période de cotisations ne sont pas remis en cause. Ils correspondent à son activité déployée en Suisse compte tenu des indications portées sur son compte individuel.</w:t>
      </w:r>
    </w:p>
    <w:p>
      <w:r>
        <w:rPr>
          <w:b/>
        </w:rPr>
        <w:t>E. 5.3</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ou qui auraient pris naissance en 2004, ce sont les Tables des rentes 2004 qui sont applicables pour la détermination de l'échelle de rente, que la rente soit versée à l'ouverture du droit ou ultérieurement. Il sied de préciser que la notion de rente complète / partielle en référence à la durée de cotisations complète / partielle des assurés de la classe d'âge est distincte de la notion de rente entière / partielle en référence au taux d'invalidité. La première établit l'importance économique d'une rente en fonction des années de cotisations, lesquelles sont au maximum de 43 années pour une femme et de 44 années pour un homme, déterminant une rente complète ou partielle au prorata des années de cotisations. La deuxième indique le droit à la rente par rapport à une rente entière compte tenu du taux d'invalidité. Il s'ensuit qu'un taux d'invalidité par exemple de 70% ouvrant le droit à une rente d'invalidité entière peut donner lieu à une rente partielle ou complète des échelles 1 à 44 déterminée en fonction des années entières de cotisations.</w:t>
      </w:r>
    </w:p>
    <w:p>
      <w:r>
        <w:rPr>
          <w:b/>
        </w:rPr>
        <w:t>E. 5.4</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 En l'espèce, il n'est pas contesté que l'assurée compte 2 années et 11 mois de cotisations. Or, pour la recourante, née en 1958, 2 années entières de cotisations sur les 25 années des assurées de sa classe d'âge conférant le droit à une rente entière de l'échelle 44, l'échelle applicable est l'échelle 4 correspondant à 9.09% d'une rente complète. (cf. Tables des rentes 2004, p. 7 et 10; art. 52 RAVS).</w:t>
      </w:r>
    </w:p>
    <w:p>
      <w:r>
        <w:rPr>
          <w:b/>
        </w:rPr>
        <w:t>E. 5.5</w:t>
      </w:r>
    </w:p>
    <w:p>
      <w:r>
        <w:t>En vertu de l'art. 29quinqies al. 3 LAVS, les revenus que les époux ont réalisé pendant les années civiles de mariage commun sont répartis et attribués pour moitié à chacun des époux, pour autant cependant qu'ils aient été tous deux domiciliés en Suisse (art. 1er LAVS). La répartition est effectuée lorsque soit les deux conjoints ont droit à la rente, une veuve ou un veuf a droit à une rente de vieillesse, le mariage est dissous par le divorce. Dans la présente cause le splitting n'intervient pas pour le calcul de la rente car la survenance d'un cas d'invalidité n'ouvre pas la procédure de splitting des revenus.</w:t>
      </w:r>
    </w:p>
    <w:p>
      <w:r>
        <w:rPr>
          <w:b/>
        </w:rPr>
        <w:t>E. 5.6</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comme pour la rente d'invalidité, celui correspondant à la première année pour laquelle des cotisations ont été versées entre l'année qui suit l'accomplissement de la vingtième année et celle de l'ouverture du droit à la rente. En l'espèce le facteur de revalorisation en référence à l'année 2004 pour une première inscription en 1998 applicable à la recourante est 1.000 (Table des rentes 2004, p. 15).</w:t>
      </w:r>
    </w:p>
    <w:p>
      <w:r>
        <w:rPr>
          <w:b/>
        </w:rPr>
        <w:t>E. 6</w:t>
      </w:r>
    </w:p>
    <w:p>
      <w:r>
        <w:t>Les revenus de l'assurée pour les années 1998 à 2001 totalisent Fr. 81'805.-. Le facteur de revalorisation appliqué en 2004 à l'année 1998 est 1.000. Il s'ensuit que le revenu précité, compte tenu d'une durée de cotisations de 35 mois, détermine un revenu annuel moyen de Fr. 28'047.-. La recourante ayant été durant les années précitées sans enfant, elle ne bénéficie pas de contributions pour tâches éducatives. Le revenu en question est retenu pour tel. Or, ce revenu, porté au revenu annuel moyen déterminant (RAM) de l'échelle 4 pour l'année 2004 (ouverture du droit; cf. consid. 3) de Fr. 29'118.- directement supérieur à son revenu annuel moyen, donne droit à une rente mensuelle de Fr. 128.-. Cette rente indexée au 1er janvier 2006 se monte à Fr. 131.- (RAM de Fr. 29'670.-; augmentation des rentes au 1er janvier 2005 d'env. 1.9% avec correction des échelons, cf. Tables des rentes 2005). Indexée au 1er janvier 2007, la rente se monte à Fr. 134.- (RAM de Fr. 30'498.-; augmentation des rentes au 1er janvier 2007 d'env. 2.8%; cf. Tables des rentes 2007). Enfin, indexée au 1er janvier 2009 la rente passe à Fr. 139.- (RAM de Fr. 31'464.-; augmentation des rentes au 1er janvier 2009 d'env. 3.2%; cf. Tables des rentes 2009). Il appert de ce qui précède que le montant de la rente, déterminée valeur 2004 et versée, selon les augmentations précitées, à compter de janvier 2006 conformément à l'art. 48 al. 2 LAI dans sa teneur jusqu'au 31 décembre 2007 (versement rétroactif de 12 mois précédent le dépôt de la demande), est exact.</w:t>
      </w:r>
    </w:p>
    <w:p>
      <w:r>
        <w:rPr>
          <w:b/>
        </w:rPr>
        <w:t>E. 7</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8</w:t>
      </w:r>
    </w:p>
    <w:p>
      <w:r>
        <w:t>A titre superfétatoire, il sied de relever que le fait que l'assurée ait quitté la Suisse pour s'établir en France en raison du fait qu'elle a suivi son mari, invité par son employeur à poursuivre son activité salariée pour l'entreprise en France, n'est pas déterminant.</w:t>
      </w:r>
    </w:p>
    <w:p>
      <w:r>
        <w:rPr>
          <w:b/>
        </w:rPr>
        <w:t>E. 9.1</w:t>
      </w:r>
    </w:p>
    <w:p>
      <w:r>
        <w:t>Vu l'issue de la procédure, les frais de celle-ci, fixés à Fr. 300.-, sont mis à la charge de la recourante (art. 63 al. 1 PA, applicable par le truchement de l'art. 37 LTAF). Ils sont compensés par l'avance de frais du même montant dont elle s'est acquittée au cours de l'instruction.</w:t>
      </w:r>
    </w:p>
    <w:p>
      <w:r>
        <w:rPr>
          <w:b/>
        </w:rPr>
        <w:t>E. 9.2</w:t>
      </w:r>
    </w:p>
    <w:p>
      <w:r>
        <w:t>Il n'est pas alloué de dépens (art. 7 al. 1 et 3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