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C-820/2009 vom 9. März 2011</w:t>
      </w:r>
    </w:p>
    <w:p>
      <w:r>
        <w:t>Bundesverwaltungsgericht, 2011-03-09, DE</w:t>
      </w:r>
    </w:p>
    <w:p>
      <w:r>
        <w:rPr>
          <w:b/>
        </w:rPr>
        <w:t xml:space="preserve">Quelle: </w:t>
      </w:r>
      <w:r>
        <w:t>https://mcp.opencaselaw.ch/entscheid/bvger_C-820_2009</w:t>
      </w:r>
    </w:p>
    <w:p>
      <w:r>
        <w:t>FR: TAF C-820/2009 du 9 mars 2011</w:t>
      </w:r>
    </w:p>
    <w:p>
      <w:r>
        <w:t>IT: TAF C-820/2009 del 9 marzo 2011</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Verfügungsadressatin zur Be­schwerde legitimiert (vgl. Art. 48 Abs. 1 VwVG). Auf die frist- und form­ge­recht eingereichte Be­schwerde gegen die (mit einem Hinweis auf Art. 67 Abs. 1 AuG minimal begründete) vorinstanzliche Verfügung ist so­mit einzutreten (vgl. Art. 50 und 52 VwVG).</w:t>
      </w:r>
    </w:p>
    <w:p>
      <w:r>
        <w:rPr>
          <w:b/>
        </w:rPr>
        <w:t>E. 1.4</w:t>
      </w:r>
    </w:p>
    <w:p>
      <w:r>
        <w:t>Das Bundesverwaltungsgericht entscheidet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im Zeitpunkt des Entscheids (vgl. BGE 135 II 369 E. 3.3 S. 374).</w:t>
      </w:r>
    </w:p>
    <w:p>
      <w:r>
        <w:rPr>
          <w:b/>
        </w:rPr>
        <w:t>E. 3</w:t>
      </w:r>
    </w:p>
    <w:p>
      <w:r>
        <w:t>Hinsichtlich der von der Beschwerdeführerin als Beweismassnahme beantragten gerichtlichen Befragung ihres Ehemannes ist Folgendes festzuhalten: Der Behörde kommt grundsätzlich die Pflicht zu, den rechtserheblichen Sachverhalt von Amtes wegen zu ermitteln (Art. 12 VwVG). Die Behörden sind verpflichtet, die von den Parteien angebotenen Beweise abzunehmen, sofern diese geeignet sind, den rechtserheblichen Sachverhalt zu erhellen.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der Bundesverfassung der Schweizerischen Eidgenossenschaft vom 18. April 1999 (BV, SR 101) zu verletzen (vgl. zum Ganzen BGE 136 I 229 E. 5.3 S. 236 mit Hinweis). Der entscheiderhebliche Sachverhalt erschliesst sich, wie nachfolgend zu zeigen sein wird, in hinreichender Weise aus den Akten. Von der beantragten Befragung des Ehemannes kann daher in antizipierter Beweiswürdigung ohne Verletzung des rechtlichen Gehörs abgesehen werden.</w:t>
      </w:r>
    </w:p>
    <w:p>
      <w:r>
        <w:rPr>
          <w:b/>
        </w:rPr>
        <w:t>E. 4.1</w:t>
      </w:r>
    </w:p>
    <w:p>
      <w:r>
        <w:t>Mit Inkrafttreten des AuG am 1. Januar 2008 wurde das Bundes­gesetz vom 26. März 1931 über Aufenthalt und Niederlassung der Aus­länder (ANAG, BS 1 121) abgelöst (vgl. Art. 125 AuG i.V.m. Ziffer I des Anhangs 2 zum AuG). Das AuG beansprucht Geltung auf alle Verfahren, die nach seinem Inkrafttreten eingeleitet wurden, sei es nun auf Gesuch hin oder von Amtes wegen (vgl. Art. 126 Abs. 1 AuG e contrario; ferner BVGE 2008/1 E. 2 mit Hinweisen). Wenn bei der Anwendung des neuen Rechts auf Verhältnisse abgestellt wird, die - wie vorliegend - noch unter der Herrschaft des alten Rechts entstanden sind und beim Inkrafttreten des neuen Rechts andauern, liegt eine unechte Rückwirkung vor, die - vorbehältlich des Vertrauensschutzprinzips - grundsätzlich zulässig ist (vgl. Ulrich Häfelin/Georg Müller/Felix Uhlmann, Allgemeines Verwaltungsrecht, 6. Aufl., Zürich/ St.Gallen 2010, Rz. 337 ff.).</w:t>
      </w:r>
    </w:p>
    <w:p>
      <w:r>
        <w:rPr>
          <w:b/>
        </w:rPr>
        <w:t>E. 4.2</w:t>
      </w:r>
    </w:p>
    <w:p>
      <w:r>
        <w:t>Wird gegen eine Person, welche nicht Angehörige eines Staates ist, der durch eines der Schengen-Assoziierungsabkommen (vgl. Anhang 1 Ziffer 1 AuG) gebunden ist,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grundsätzlich im Schengener Informationssystem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5.1</w:t>
      </w:r>
    </w:p>
    <w:p>
      <w:r>
        <w:t>Das in Art. 67 AuG geregelte Einreiseverbot entspricht der alt­rechtlichen Einreisesperre des Art. 13 ANAG. Auf den 1. Januar 2011 trat als Folge der Weiterentwicklung des Schengen-Besitzstandes eine neue Fassung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(Bst. a) oder die betroffene Person der Ausreiseverpflichtung nicht innert der angesetzten Frist nachgekommen ist (Bst. b). Es kann nach Art. 67 Abs. 2 AuG sodann gegen ausländische Per­sonen erlassen werden, die gegen die öffentliche Sicherheit und Ordnung in der Schweiz oder im Ausland verstossen haben oder diese gefährden (Bst. a), Sozial­hilfekosten verursacht haben (Bst. b) oder in Vorbereitungs-, Ausschaffungs- oder Durchsetzungshaft ge­nommen worden sind (Bst. c). Hinsichtlich der Dauer der Fernhaltemassnahme hält Art. 67 Abs. 3 AuG fest, dass das Einreiseverbot für eine Dauer von höchstens fünf Jahren verhängt wird, jedoch auch für eine längere Dauer verfügt werden kann, wenn die betroffene Person eine schwerwiegende Gefahr für die öffentliche Sicherheit und Ordnung darstellt. Schliesslich kann die verfügende Behörde nach Art. 67 Abs. 5 AuG aus humanitären oder anderen wichtigen Gründen von der Verhängung eines Einreiseverbots absehen oder ein Einreiseverbot vollständig oder vorübergehend aufheben. Die bisher bestehende Praxis der Vorinstanz bei der Ansetzung von Fernhaltemassnahmen ist mit den obgenannten Grundsätzen vereinbar (vgl. BBl 2009 8896 ad Art. 67 Abs. 3 in fine), weswegen sich für die Beschwerdeführerin im Ergebnis nichts ändert (Urteil des Bundesverwaltungsgerichts C 2482/2009 vom 28. Januar 2011 E. 6.2).</w:t>
      </w:r>
    </w:p>
    <w:p>
      <w:r>
        <w:rPr>
          <w:b/>
        </w:rPr>
        <w:t>E. 5.2</w:t>
      </w:r>
    </w:p>
    <w:p>
      <w:r>
        <w:t>Wie bereits die altrechtliche Einreisesperre stellt das Einreiseverbot keine Sanktion dar (eine solche erweist sich definitions- bzw. naturgemäss als eine Reaktion - im Sinne zumindest auch einer Ahndung - auf vergangenes Fehlverhalten); sie bildet eine Massnahme zur Abwendung einer künftigen Störung der öffentlichen Sicherheit und Ordnung (siehe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(Botschaft, a.a.O., 3809; vgl. auch Rainer J. Schweizer/Patrick Sutter/Nina Widmer, in: Rainer J. Schweizer [Hrsg.], Sicherheits- und Ordnungsrecht des Bundes, SBVR Bd. III/1, Basel 2008, Teil B, Rz. 12 und 13 mit Hinweisen). Die Verhängung eines Einreiseverbots knüpft somit an das Bestehen eines Risikos einer künftigen Gefährdung an. Es ist daher gestützt auf die gesamten Umstände des Einzelfalls eine entsprechende Prognose zu fällen, wobei naturgemäss auf die Vergangenheit abgestellt werden muss, mithin in erster Linie auf das vergangene Verhalten der betroffenen Person. Ein vergangenes deliktisches Verhalten ist sodann geeignet, einen Hinweis auf eine Gefährdung in der Zukunft zu liefern (vgl. auch Caterina Nägeli/Nik Schoch, in: Peter Uebersax/Beat Rudin/Thomas Hugi Yar/Thomas Geiser [Hrsg.], Ausländerrecht, 2. Aufl., Basel 2009, Rz. 22.177, sowie zum Ganzen kritisch: Paul-Lukas Good/Patrick Sutter, Einreiseverbot als Sanktion für vergangenes Verhalten oder Mittel zur Gefahrenabwehr?, Sicherheit &amp; Recht 3/2010, S. 199 ff.). Aus diesem Grund verknüpft Art. 67 Abs. 2 Bst. a AuG die Verhängung einer solchen Massnahme unter anderem mit einem (bereits erfolgten) Verstoss gegen die fraglichen Polizeigüter. Art. 80 Abs. 1 der Verordnung vom 24. Oktober 2007 über Zulassung, Aufenthalt und Erwerbstätigkeit (VZAE, SR 142.201) konkretisiert lediglich, wie der Begriff des "Verstosses" nach Art. 67 Abs. 2 Bst. a AuG zu verstehen ist; so hält er fest, dass (unter anderem) eine Missachtung gesetzlicher Vorschriften und behördlicher Verfügungen dazu zählt (Bst. a). Ausschlaggebend für den Erlass eines Einreiseverbots ist mithin jedoch nicht der Umstand, dass jemand in der Vergangenheit straffällig geworden ist; in Fällen von vergangenem deliktischem Verhalten wird eine solche Massnahme verhängt, wenn aufgrund dessen vom Risiko einer künftigen Gefährdung ausgegangen werden muss (vgl. zum Ganzen - auch das Urteil des Bundesverwaltungsgerichts C 7549/2008 und C 7550/2008 vom 23. August 2010 insb. E. 3.2 und 4.1 mit Hinweisen). Das Bundesgericht hatte in einem Verfahren betreffend Bewilligungswiderruf in grundlegender Weise festgehalten, eine "längerfristige Freiheitsstrafe" (welche nach Art. 62 Bst. b erster Satzteil AuG einen Widerrufsgrund darstellt) liege vor, wenn gegen eine Person eine Freiheitsstrafe von mehr als einem Jahr ausgefällt worden sei (vgl. BGE 135 II 377 E. 4.2 S. 379 ff.). A fortiori kann im Zusammenhang mit der Verhängung einer Fernhaltemassnahme an diese Rechtsprechung angeknüpft bzw. eine solche Freiheitsstrafe im Rahmen der zu stellenden Prognose gewürdigt werden. Widerhandlungen gegen das Betäubungsmittelgesetz sind ohne weiteres als Verstoss gegen die öffentliche Sicherheit und Ordnung zu qualifizieren und können daher - wie bereits unter der Geltung des ANAG bzw. der alten Fassung des AuG - die Anordnung von (zum Teil langen) Fernhaltemassnahmen nach sich ziehen (vgl. dazu die Urteile des Bundesverwaltungsgerichts C 20/2010 vom 12. Oktober 2010 E. 5 f., C 4509/2009 vom 7. Januar 2010 E. 6 f. und C 6199/2008 vom 24. August 2009 E. 5.1 ff. und 6.2 mit zahlreichen weiteren Hinweisen auf die bundesverwaltungsgerichtliche Rechtsprechung; vgl. auch BVGE 2008/24 E. 4.3 sowie zum Ganzen auch BGE 131 II 352 E. 4.3.1 S. 359 f. und BGE 125 II 521 E. 4a/aa S. 526 f.). In Konstellationen, in welchen kein sogenannter Vertragsausländer betroffen ist, erweist sich auch die Berücksichtigung generalpräventiver Aspekte als zulässig (vgl. Urteil des Bundesgerichts 2C_542/2009 vom 15. Dezember 2009 E. 3.2 mit Hinweisen [betreffend ebenfalls einen Bewilligungswiderruf - wiederum a fortiori] sowie das erwähnte Urteil des Bundesverwaltungsgerichts C 7549/2008 und C 7550/2008 E. 7.1).</w:t>
      </w:r>
    </w:p>
    <w:p>
      <w:r>
        <w:rPr>
          <w:b/>
        </w:rPr>
        <w:t>E. 6</w:t>
      </w:r>
    </w:p>
    <w:p>
      <w:r>
        <w:t>Am 2. Oktober 2003 führte die Beschwerdeführerin eine Menge von 2'479.7 Gramm Kokaingemisch (bei einem Reinheitsgrad von 92%, entsprechend 2'280 Gramm reinem Kokainhydrochlorid) von Ghana in die Schweiz ein, wofür sie als Entgelt einen Betrag in der Höhe von Fr. 2'000.- erhalten sollte. Aufgrund dieses Sachverhalts wurde sie wegen Verstosses gegen Art. 19 Ziff. 1 al. 3 in Verbindung mit Art. 19 Ziff. 2 Bst. a BetmG zu einer Zuchthausstrafe von 2 ¾ Jahren verurteilt. Dabei ist das Gericht sowohl im Schuld- als auch im Strafpunkt vollumfänglich den Anträgen der Staatsanwaltschaft Winterthur/Unterland gefolgt (vgl. Anklageschrift vom 9. März 2004). Bereits am 9. März 2004 hat sie vorzeitig den Strafvollzug angetreten und in der Folge auch das Strafurteil nicht angefochten. Eine solche Handlung stellt nach dem Dargelegten (vgl. E. 5.2) selbstredend einen Verstoss gegen die öffentliche Sicherheit und Ordnung in der Schweiz im Sinne von Art. 67 Abs. 2 Bst. a AuG dar. Die Voraussetzungen für die Verhängung eines Einreiseverbots nach dieser Bestimmung erweisen sich demnach ohne weiteres als erfüllt, was im Übrigen auch von der Beschwerdeführerin nicht in Abrede gestellt wird.</w:t>
      </w:r>
    </w:p>
    <w:p>
      <w:r>
        <w:rPr>
          <w:b/>
        </w:rPr>
        <w:t>E. 7</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a.a.O., Rz. 613 ff.).</w:t>
      </w:r>
    </w:p>
    <w:p>
      <w:r>
        <w:rPr>
          <w:b/>
        </w:rPr>
        <w:t>E. 7.1</w:t>
      </w:r>
    </w:p>
    <w:p>
      <w:r>
        <w:t>Angesichts der vorstehenden Ausführungen besteht an der Fernhaltung als solche klarerweise ein erhebliches öffentliches Interesse. Als ebenso offenkundig erweist sich, dass von der Beschwerdeführerin eine schwerwiegende Gefahr für die öffentliche Sicherheit und Ordnung ausgeht, welche die Verhängung einer Fernhaltemassnahme von einer fünf Jahre überschreitenden Dauer zulässt (vgl. Art. 67 Abs. 3 AuG). Die Beschwerdeführerin hat anlässlich ihrer Tat eine kriminelle Energie beträchtlichen Ausmasses an den Tag gelegt; die Schwere ihres deliktischen Verhaltens und ihres Verschuldens erweist sich als erheblich. Mit der Einfuhr jener (ihr immerhin grob bekannten) erheblichen Menge an Drogen hat sie die Gefährdung der Gesundheit einer Vielzahl von Menschen in Kauf genommen, was ihre Tat als Verbrechen qualifiziert. Ihr war auch bekannt, dass sie "Drogen transportieren würde und dass Drogen etwas Schlechtes sind" (vgl. die Anklageschrift vom 9. März 2004, S. 2). Sie selber war nicht von Suchtmitteln abhängig, so dass ihr Handeln nicht im Zusammenhang mit sogenannter Beschaffungskriminalität gesehen werden kann; es lagen ihm rein finanzielle Motive zugrunde. Die Beschwerdeführerin hat damit aus ausschliesslich gewinnorientierten, egoistischen Beweggründen die physische Integrität bzw. Leib und Leben - mithin besonders schützenswerte Rechtsgüter (vgl. BGE 131 II 352 E. 4.3.1 S. 359 f. und BGE 125 II 521 E. 4a/aa S. 526 f.) - einer Vielzahl von Menschen gefährdet bzw. verletzt. Dass sich ihre wirtschaftlichen Verhältnisse zum Tatzeitpunkt womöglich als nicht besonders komfortabel dargestellt haben mögen, vermag ihr Verschulden nicht als geringer erscheinen zu lassen. Die Beschwerdeführerin argumentiert, es sei (insbesondere in Anbetracht der fehlenden Begründung des Strafurteils) nicht zulässig, einzig aus der Höhe der ausgefällten Strafe auf ein (schweres) Verschulden ihrerseits zu schliessen (Replik S. 1). Das Verschulden stellt im Rahmen der von der Strafgerichtsbarkeit vorzunehmenden Strafzumessung seit jeher den massgeblichen Parameter für die Höhe einer auszufällenden Strafe dar (vgl. Art. 34 Abs. 1 Satz 2 des Schweizerischen Strafgesetzbuchs vom 21. Dezember 1937 [StGB, SR 311.0]). Selbstredend ist es daher (auch bei einem unbegründet gebliebenen Urteil) zulässig, umgekehrt aus der Höhe der verhängten Strafe Rückschlüsse auf die Schwere des Verschuldens der verurteilten Person zu ziehen. Genau so ist im Verfahren betreffend die Nichtverlängerung der Aufenthaltsbewilligung das Bundesgericht (wie die kantonalen Instanzen vor ihm) verfahren, als es festgehalten hat, die verhängte Strafe bringe das Verschulden der Beschwerdeführerin klar zum Ausdruck (vgl. das Urteil 2A.582/2006 vom 26. Februar 2007 E. 3.4). Die Versuche des Parteivertreters, die Schwere des deliktischen Verhaltens der Beschwerdeführerin zu relativieren, indem er die Einmaligkeit dieses Ereignisses hervorhebt, erweisen sich als unbehelflich. Aufgrund der im Betäubungsmittelbereich verübten Straftat und insbesondere der massiven Gefährdung womöglich unzähliger Personen musste sie damit rechnen, über viele Jahre hinweg als Risikofaktor für die öffentliche Sicherheit und Ordnung eingestuft zu werden (vgl. in diesem Sinne - auf der Grundlage anderer Straftaten - BGE 130 II 493 E. 5 S. 504). Ein Einreiseverbot wird auf unbestimmte Dauer verhängt, wenn zu diesem Zeitpunkt keine zuverlässige Prognose darüber abgegeben werden kann, wie lange seitens der betroffenen Person ein Risiko für die öffentliche Sicherheit bestehen wird. Verhält sie sich während längerer Zeit klaglos, so stellt dies (im Rahmen der zu berücksichtigenden gesamten Umstände des Einzelfalls) ein Argument dafür dar, dass das öffentliche, die Fernhaltemassnahme rechtfertigende Sicherheitsbedürfnis nachträglich weggefallen ist. Für die Berechnung der Dauer des klaglosen Verhaltens ist dabei nicht auf den Begehungs- oder den Urteilszeitpunkt abzustellen, sondern darauf, wie lange sich eine straffällig gewordene Person nach ihrer Entlassung aus der Haft in Freiheit bewährt hat (vgl. BVGE 2008/24 E. 4.3 und 6.2 je mit Hinweisen). Zwar trifft zu, dass die Beschwerdeführerin Ende Juli 2005 bedingt aus dem Strafvollzug entlassen wurde. Jedoch scheint sie sich erst seit ihrer Rückkehr in ihren Herkunftsstaat im November 2007 in strafrechtlicher Hinsicht - soweit ersichtlich - bewährt zu haben. So ist im Januar 2009 eine weitere Verurteilung - zu einer (unbedingten) Geldstrafe - hinzugekommen. Aufgrund ihres Aufenthalts in der Schweiz trotz bestehender Pflicht zur Ausreise (von Mitte Juni bis Ende November 2007) wurde sie wegen rechtswidrigen Verweilens im Land (vgl. Art. 23 Abs. 1 al. 4 ANAG in Verbindung mit Art. 126 Abs. 4 AuG; heute: Rechtswidriger Aufenthalt nach Art. 115 Abs. 1 Bst. b AuG) verurteilt. Das zugrundeliegende Verhalten mag zwar als nicht besonders schwerwiegend sowie angesichts der familiären Umstände in einem gewissen Mass nachvollziehbar erscheinen. Doch stellt dies nichtsdestotrotz einen Hinweis darauf dar, dass sie auch nach ihrer Haftentlassung bzw. Wegweisung aus der Schweiz nicht bereit und willens war, sich an die hiesigen Konventionen und Gesetzesnormen zu halten. Gerade angesichts ihrer familiären Verhältnisse hätte die Beschwerdeführerin im Anschluss an die Haftentlassung alles Interesse daran haben müssen, sich gesetzeskonform zu verhalten. Angesichts der Schwere der ursprünglichen Straftat im Betäubungsmittelbereich, der auf dem Spiel stehenden höchsten Rechtsgüter einer Vielzahl von Personen, sowie des Umstands, dass sich die Beschwerdeführerin auch nach ihrer Haftentlassung nicht klaglos verhalten hat, erweist sich die seither vergangene Bewährungszeit als zu kurz, als dass in unmittelbarer oder mittelbarer Zukunft von einer grundlegenden und gefestigten Wandlung ausgegangen werden könnte (vgl. BGE 130 II 493 E. 5 S. 504). Damit erscheint die Anwendung eines strengen Massstabs als angezeigt und zum heutigen Zeitpunkt ein öffentliches Interesse an einer nicht von vornherein befristeten Fernhaltemassnahme als gerechtfertigt.</w:t>
      </w:r>
    </w:p>
    <w:p>
      <w:r>
        <w:rPr>
          <w:b/>
        </w:rPr>
        <w:t>E. 7.2</w:t>
      </w:r>
    </w:p>
    <w:p>
      <w:r>
        <w:t>Die Beschwerdeführerin macht eine Verletzung ihres Rechts auf Achtung des Privat- und Familienlebens nach Art. 8 EMRK insbesondere aufgrund der fehlenden Befristung bzw. a priori Unbeschränktheit in zeitlicher Hinsicht der verhängten Fernhaltemassnahme geltend. Zunächst ist hervorzuheben, dass allfällige Einschränkungen des Privat- bzw. Familienlebens der Beschwerdeführerin im vorliegenden Zusammenhang aufgrund sachlicher und funktioneller Unzuständigkeit des Bundesverwaltungsgerichts nicht Verfahrensgegenstand sein können, soweit sie auf das Fehlen eines dauerhaften Aufenthaltsrechts in der Schweiz zurückzuführen sind (vgl. das Urteil des Bundesverwaltungsgerichts C 4509/2009 vom 7. Januar 2010 E. 7.3 mit weiteren Hinweisen). Die Erteilung und Verlängerung von Aufenthaltsbewilligungen fällt grundsätzlich in die Zuständigkeit der Kantone. Der Beschwerdeführerin wurde die Verlängerung der Aufenthaltsbewilligung durch die zuständigen kantonalen Behörden verweigert und dieser Entscheid in letzter Instanz vom Bundesgericht bestätigt (vgl. bereits erwähntes Urteil 2A.582/2006). Die Pflege regelmässiger persönlicher Kontakte zu Ehemann und Kind scheitert daher bereits an ihrem fehlenden Anwesenheitsrecht hierzulande. Somit stellt sich in vorliegenden Verfahren nurmehr die Frage, ob die über die Verweigerung des Aufenthaltsrechts hinausgehende, durch das Einreiseverbot zusätzlich bewirkte Erschwernis vor Art. 8 Ziff. 1 EMRK (und Art. 13 Abs. 1 BV) standhält. Aus den vorstehenden Ausführungen geht hervor, dass sich die Beschwerdeführerin derzeit nur zu Besuchszwecken in der Schweiz auf­halten dürfte. Eine Aufhebung des Einreiseverbots führte demnach le­diglich dazu, dass sie den allgemeinen, für Staatsangehörige der Elfenbeinküste geltenden Einreisebestimmungen (insbesondere der Visumspflicht) unterstünde (vgl. Art. 4 Abs. 1 der Verordnung vom 22. Oktober 2008 über die Einreise und die Visumerteilung [VEV, SR 142.204] mit Verweis auf die Verordnung [EG] Nr. 539/2001 des Rates vom 15. März 2001, welche im Anhang I eine Liste von Drittländern enthält - darunter die Elfenbeinküste - deren Staatsangehörige beim Überschreiten der Aussengrenzen der Schengen-Mitgliedstaaten im Besitze eines Visums sein müssen). Sie könnte somit ohnehin nicht bewilligungsfrei in die Schweiz einreisen. Die Wirkungen des Einreiseverbots bestehen zudem nicht darin, dass der Beschwerdeführerin während dessen Geltungsdauer Besuchsaufenthalte bei ihren Familienangehörigen in der Schweiz schlichtweg untersagt wären. Es steht ihr vielmehr die Möglichkeit offen, aus wichtigen Gründen mittels begründetem Gesuch die zeitweilige Sus­pension der angeordneten Fernhaltemassnahme zu beantragen (Art. 67 Abs. 5 AuG). Die Suspension wird praxisgemäss nur für eine kurze und klar begrenzte Zeit gewährt (vgl. zum Ganzen wiederum Urteil des Bundesverwaltungsgerichts C 4509/2009 vom 7. Januar 2010). Mit der Bewilligung einer Suspension des Einreiseverbots (vgl. Suspensionsverfügung vom 6. Oktober 2009) hat die Vorinstanz sodann ihre Bereitschaft, die Kontaktpflege der Beschwerdeführerin mit ihren Familienangehörigen in der Schweiz zu ermöglichen, bereits unter Beweis gestellt. Gemäss den Angaben der Beschwerdeführerin (vgl. Eingabe vom 10. Dezember 2010) hat sie selber seither nicht mehr um weitere Suspensionen der Fernhaltemassnahme ersucht. Im vorliegenden Zusammenhang ist zudem zu berücksichtigen, dass der gemeinsame Sohn der Beschwerdeführerin und ihres Ehemanns am 19. Mai 2006 zur Welt kam, die Zeugung also im August 2005 erfolgt sein musste. Die Abweisung des Gesuchs um Verlängerung der Aufenthaltsbewilligung seitens der kantonalen Migrationsbehörde war am 25. Oktober 2004 erfolgt. Das Kind wurde somit in Kenntnis der bzw. im Bewusstsein um die Unsicherheit des ausländerrechtlichen Status der Beschwerdeführerin und die sich in der Folge möglicherweise ergebenden Schwierigkeiten hinsichtlich der künftigen Kontaktpflege gezeugt (weswegen das Bundesgericht diesem Umstand kein erhebliches Gewicht beimass, vgl. das Urteil 2A.582/2006 E. 3.8). Den geltend gemachten privaten Interessen der Beschwerdeführerin kann jedenfalls im dargelegten Umfang und Rahmen Rechnung getragen werden. Ob in diesem, in erster Linie administrativen Erschwernis bereits ein rechtfertigungsbedürftiger Eingriff in das Familienleben begründet ist, kann offen bleiben. Selbst wenn von einem unter dem Gesichtspunkt von Art. 13 Abs. 1 BV und Art. 8 EMRK relevanten Eingriff ausgegangen würde, wäre ein solcher unter den konkreten Begebenheiten gestützt auf Art. 8 Ziff. 2 EMRK als gerechtfertigt zu qualifizieren. In neueren Urteilen des Bundesgerichts (in Verfahren betreffend jeweils das Anwesenheitsrecht) werden bei der im Rahmen von Art. 8 EMRK vorzunehmenden Interessenabwägung und den diesbezüglich einzubeziehenden Gesichtspunkten explizit ordnungs- und sicherheitspolizeiliche Interessen vorbehalten (BGE 135 I 143 E. 4 insb. E. 4.1 in fine und 4.4 S. 150 ff., BGE 135 I 153 E. 2.2.4 S. 158 sowie BGE 136 I 285 E. 5.3 S. 289). Zweifellos erreicht das deliktische Verhalten der Beschwerdeführerin auch unter diesem Blickwinkel die erforderliche Schwere, welche (gar) einen Eingriff in das Privat- und Familienleben als gerechtfertigt erscheinen liesse. Im von der Beschwerdeführerin angeführten EGMR-Urteil Nr. 42034/04 vom 22. Mai 2008, Emre c. Schweiz, schliesslich ging es um eine altrechtliche Ausweisung (vgl. Art. 10 Abs. 1 Bst. a ANAG), mithin - anders als bei der vorliegenden Fernhaltemassnahme - um eine Entfernungsmassnahme. Die zugrundeliegende Konstellation erweist sich als mit der vorliegenden ohnehin nicht vergleichbar: zum einen verwies der EGMR im angeführten Urteil auf die relative Schwere der verübten Delikte (wovon vorliegend - wie dargelegt - keine Rede sein kann); zum anderen hob er - unter Betonung der zum damaligen Zeitpunkt "rein spekulativen" Möglichkeit, eine vorübergehende Aufhebung jener Massnahme zu erwirken - ihren "definitiven Charakter" hervor (vgl. Ziff. 72 ff. und 84 ff. sowie insbesondere Ziff. 86 des erwähnten Urteils). Demgegenüber ist die Vorinstanz in casu sehr wohl bereit, dem Wunsch der Beschwerdeführerin nach Kontaktpflege so weit wie möglich nachzukommen, und hat sie diese - wie bereits erwähnt - mit der Gewährung einer ersuchten Suspension bereits unter Beweis gestellt. Aus dem Verweis auf das erwähnte EGMR-Urteil vermag die Beschwerdeführerin daher im vorliegenden Zusammenhang für sich nichts abzuleiten.</w:t>
      </w:r>
    </w:p>
    <w:p>
      <w:r>
        <w:rPr>
          <w:b/>
        </w:rPr>
        <w:t>E. 7.3</w:t>
      </w:r>
    </w:p>
    <w:p>
      <w:r>
        <w:t>Eine wertende Gewichtung der sich gegenüberstehenden Interessen führt das Bundesverwaltungsgericht daher zum Schluss, dass die auf unbestimmte Dauer verhängte Fernhaltemassnahme auch zum gegenwärtigen Zeitpunkt eine unter Berücksichtigung der gängigen Praxis in vergleichbaren Fällen verhältnismässige und angemessene Massnahme zum Schutze der öffentlichen Sicherheit und Ordnung darstellt. Die fehlende Befristung bedeutet schliesslich nicht, dass die Massnahme für den Rest des Lebens Gültigkeit haben soll; ein Anspruch auf Überprüfung der Massnahme bei Wohlverhalten besteht im Allgemeinen etwa nach zehn Jahren nach Verbüssung der letzten Freiheitsstrafe (vgl. BVGE 2008/24 E. 4.3 und 6.2 je mit Hinweisen). Eine zuverlässige Prognose, wie lange ein relevantes öffentliches Sicherheitsbedürfnis anzunehmen ist, lässt sich in casu zum jetzigen Zeitpunkt nicht abgeben. Von der Beschwerdeführerin ist zu verlangen, sich vorerst weiterhin während geraumer Zeit im Ausland zu bewähren.</w:t>
      </w:r>
    </w:p>
    <w:p>
      <w:r>
        <w:rPr>
          <w:b/>
        </w:rPr>
        <w:t>E. 8</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9</w:t>
      </w:r>
    </w:p>
    <w:p>
      <w:r>
        <w:t>Bei diesem Ausgang des Verfahrens sind der Beschwerdeführerin die auf Fr. 1'000.- festzusetzenden Kosten aufzuerlegen (Art. 63 Abs. 1 VwVG i.V.m. Art. 1, Art. 2 und Art. 3 Bst. b des Reglements vom 21. Februar 2008 über die Kosten und Entschädigungen vor dem Bundesverwaltungsgericht [VGKE], SR 173.320.2). Dem Gesuch um Gewährung der unentgeltlichen Rechtspflege und Verbeiständung ist nicht stattzugeben: Bereits zum Zeitpunkt der Beschwerdeerhebung war angesichts der Delinquenz im Betäubungsmittelbereich sowie der Höhe der ausgefällten Strafe vor dem Hintergrund der gängigen Praxis in solchen Fällen absehbar, dass die Fernhaltemassnahme als solche sowie in Bezug auf ihre Dauer als rechtmässig, verhältnismässig und angemessen beurteilt würde. Die Beschwerdebegehren erwiesen sich damit zum Vornherein als aussichtslos (vgl. Art. 65 Abs. 1 und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