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C-8207/2008 vom 30. November 2009</w:t>
      </w:r>
    </w:p>
    <w:p>
      <w:r>
        <w:t>Bundesverwaltungsgericht, 2009-11-30, DE</w:t>
      </w:r>
    </w:p>
    <w:p>
      <w:r>
        <w:rPr>
          <w:b/>
        </w:rPr>
        <w:t xml:space="preserve">Quelle: </w:t>
      </w:r>
      <w:r>
        <w:t>https://mcp.opencaselaw.ch/entscheid/bvger_C-8207_2008</w:t>
      </w:r>
    </w:p>
    <w:p>
      <w:r>
        <w:t>FR: TAF C-8207/2008 du 30 novembre 2009</w:t>
      </w:r>
    </w:p>
    <w:p>
      <w:r>
        <w:t>IT: TAF C-8207/2008 del 30 novembre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Visums zu Besuchszwecken verweigert wird. In dieser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der Gesuchsteller der Visumspflicht.</w:t>
      </w:r>
    </w:p>
    <w:p>
      <w:r>
        <w:rPr>
          <w:b/>
        </w:rPr>
        <w:t>E. 6</w:t>
      </w:r>
    </w:p>
    <w:p>
      <w:r>
        <w:t>Verfahren, die am 12. Dezember 2008 (Datum der Inkraftsetzung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nach neuem Recht fortgeführt (Art. 57 VEV).</w:t>
      </w:r>
    </w:p>
    <w:p>
      <w:r>
        <w:rPr>
          <w:b/>
        </w:rPr>
        <w:t>E. 7.1</w:t>
      </w:r>
    </w:p>
    <w:p>
      <w:r>
        <w:t>Zur Prüfung des Kriteriums der gesicherten Wiederausreise muss ein zukünftiges Verhalten beurteilt werden. Dazu lassen sich in der Regel keine Feststellungen, sondern lediglich Prognosen treffen. Dabei sind sämtliche Umstände des konkreten Einzelfalles zu würdigen.</w:t>
      </w:r>
    </w:p>
    <w:p>
      <w:r>
        <w:rPr>
          <w:b/>
        </w:rPr>
        <w:t>E. 7.2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Zwar zeigte die wirtschaftliche Situation Thailands in den letzten Jahren ein robustes Wachstum. Die internationale Finanzkrise hat seit dem letzten Quartal 2008 jedoch auch auf die Wirtschaft Thailands deutlich spürbare Auswirkungen. Hauptursache der Krise ist die Exportabhängigkeit der thailändischen Wirtschaft bzw. das Wegbrechen wichtiger Absatzmärkte (USA, Japan, EU, China). Überlagert wurde der Ende vergangenen Jahres einsetzende Abwärtstrend durch die politische Konfrontation zwischen der damaligen Regierung und regierungskritischen Demonstranten, die Ende November 2008 in der Besetzung der internationalen Flughäfen Bangkoks gipfelte und zu einem massiven Einbruch im Tourismus führte. Die Regierung Abhisit hat auf den wirtschaftlichen Rückgang relativ rasch reagiert und bereits am 13. Januar 2009 die erste Staffel eines umfangreichen Konjunkturprogramms mit einem Volumen von umgerechnet rund 1,5 Mrd. Euro verabschiedet. Dennoch ist unübersehbar, dass der Abwärtstrend bis auf Weiteres anhalten wird. Angesichts der schwer einschätzbaren internationalen Risiken, insbesondere der Entwicklung der thailändischen Exportmärkte, bleiben die Prognosen für das Jahr 2009 vorsichtig und gehen von einem Wachstum des Bruttoinlandprodukts zwischen 0 und 2% aus. Eine Rezession wird nicht ausgeschlossen. Der Einbruch im Exportsektor dürfte 2009 zu einem Anstieg der Arbeitslosenquote - sie lag Ende 2008 nach offiziellen Angaben bei 1,4% - auf 3,4 bis 4% führen (Quelle: Länder- und Reiseinformationen auf der Webseite des deutschen Auswärtigen Amtes: www.auswaertiges-amt.de, Länder, Reisen und Sicherheit &gt; Thailand &gt; Wirtschaft, Stand: Mai 2009, besucht im November 2009). Die aufgezeigten Verhältnisse sind Ursache einer anhaltenden Migrationsbewegung vorab in Kreisen der erwerbsfähigen Bevölkerung. Viele versuchen ins Ausland zu gelangen, um dort unter günstigeren Bedingungen eine neue wirtschaftliche Existenz aufbauen zu können. Der Entschluss zur Emigration kann erfahrungsgemäss dort noch gefördert werden, wo sich bereits Verwandte oder Freunde im Ausland aufhalten und entsprechend ein soziales Beziehungsnetz besteht. Im Falle der Schweiz führt dies angesichts der restriktiven Zulassungsregelung nicht selten zur Umgehung ausländerrechtlicher Bestimmungen. Dabei wird oftmals versucht, den Aufenthalt zu verlängern oder auf eine andere migrationsrechtliche Grundlage zu stellen.</w:t>
      </w:r>
    </w:p>
    <w:p>
      <w:r>
        <w:rPr>
          <w:b/>
        </w:rPr>
        <w:t>E. 7.4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8.1</w:t>
      </w:r>
    </w:p>
    <w:p>
      <w:r>
        <w:t>Beim Gesuchsteller handelt es sich um einen 59-jährigen, geschiedenen Mann und Vater zweier Kinder, die allerdings beide über 30 Jahre und damit längst erwachsen sind bzw. selbständig sein dürften. Ansonsten ist über seine persönliche Lebenssituation nichts bekannt. Der Gesuchsteller könnte in seinem Herkunftsgebiet zwar durchaus gewisse familiäre Beziehungen haben. Eigentliche persönliche oder familiäre Verpflichtungen, welche die Prognose einer fristgerechten und anstandslosen Wiederausreise begünstigen könnten, sind aber keine erkennbar.</w:t>
      </w:r>
    </w:p>
    <w:p>
      <w:r>
        <w:rPr>
          <w:b/>
        </w:rPr>
        <w:t>E. 8.2</w:t>
      </w:r>
    </w:p>
    <w:p>
      <w:r>
        <w:t>Gemäss soweit übereinstimmenden Angaben der Beteiligten soll der Gesuchsteller selbständig erwerbstätig sein. In seinem Visumsantrag hatte er zwar keine berufliche Tätigkeit erwähnt, die Schweizerische Auslandvertretung in Bangkok stellte allerdings fest, dass er eine Garküche auf dem Land betreibe. Gemäss den schriftlichen Auskünften der Beschwerdeführerin gegenüber dem Migrationsamt des Kantons Aargau soll es sich dabei um ein kleines Take-Away handeln. Welches Einkommen er mit dieser Tätigkeit erzielt, ist nicht bekannt. Die vorhandenen Hinweise und der Umstand, dass nicht nur eine kurze, sondern gleich eine mehrmonatige Ferienabwesenheit geplant wird (der Gesuchsteller nannte 2 Monate, die Beschwerdeführerin erwähnte gar 3 Monate), lassen jedenfalls nicht auf eine eigentliche berufliche Verpflichtung des Gesuchstellers schliessen, die ihm eine gute wirtschaftliche Existenz vermitteln würde und die ihn wirksam davon abhalten könnte, sein Glück doch noch - wie viele seiner Landsleute - im Ausland zu suchen.</w:t>
      </w:r>
    </w:p>
    <w:p>
      <w:r>
        <w:rPr>
          <w:b/>
        </w:rPr>
        <w:t>E. 8.3</w:t>
      </w:r>
    </w:p>
    <w:p>
      <w:r>
        <w:t>Vor dem allgemeinen und persönlichen Hintergrund durfte die Vorinstanz demnach davon ausgehen, dass keine hinreichende Gewähr für eine fristgerechte und anstandslose Wiederausreise des Gesuchstellers nach einem Besuchsaufenthalt besteht. An dieser Beurteilung vermag der Umstand nichts zu ändern, dass der Gesuchsteller sich zwischen August 2001 und April 2003 in kurzen Abständen während insgesamt neun Monaten hier aufgehalten hat. Zum einen ist nicht erstellt, dass er sich damals privat in vergleichbaren Verhältnissen befand, zum andern hat die Vorinstanz Zweifel an den Umständen dieser Voraufenthalte geäussert, die offenbar schon damals aufgekommen waren und dazu geführt hatten, dass ein viertes, im Jahre 2003 gestelltes Visumsgesuch abgelehnt wurde. Die Beschwerdeführerin äus-serte sich zu entsprechenden Hinweisen der Vorinstanz trotz Einladung zur Replik nicht. Unter diesen Umständen muss nicht abschlies-send beurteilt werden, ob die gemäss Strafbefehl von der Beschwerdeführerin begangene wiederholte Missachtung ausländerrechtlicher Vorschriften (durch Vermittlung junger thailändischer Frauen zur Prostitution in einem schweizerischen Bordell) und die teilweise in den gleichen Zeitraum fallenden Anwesenheiten des Gesuchstellers in einem sachlichen Zusammenhang stehen könnten, wovon die Vorinstanz auszugehen scheint.</w:t>
      </w:r>
    </w:p>
    <w:p>
      <w:r>
        <w:rPr>
          <w:b/>
        </w:rPr>
        <w:t>E. 9</w:t>
      </w:r>
    </w:p>
    <w:p>
      <w:r>
        <w:t>Aus vorstehenden Erwägungen folgt, dass die angefochtene Verfügung im Lichte von Art. 49 VwVG nicht zu beanstanden ist. Die Beschwerde ist daher abzuweisen.</w:t>
      </w:r>
    </w:p>
    <w:p>
      <w:r>
        <w:rPr>
          <w:b/>
        </w:rPr>
        <w:t>E. 10</w:t>
      </w:r>
    </w:p>
    <w:p>
      <w:r>
        <w:t>Entsprechend dem Ausgang des Verfahrens wird die unterliegende Beschwerdeführerin kostenpflichtig (Art. 63 Abs. 1 VwVG, Art. 1, 2 und 3 Bst. b des Reglements vom 21. Februar 2008 über die Kosten und Entschädigungen vor dem Bundesverwaltungsgericht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