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C-81/2007 vom 2. Mai 2008</w:t>
      </w:r>
    </w:p>
    <w:p>
      <w:r>
        <w:t>Bundesverwaltungsgericht, 2008-05-02, DE</w:t>
      </w:r>
    </w:p>
    <w:p>
      <w:r>
        <w:rPr>
          <w:b/>
        </w:rPr>
        <w:t xml:space="preserve">Quelle: </w:t>
      </w:r>
      <w:r>
        <w:t>https://mcp.opencaselaw.ch/entscheid/bvger_C-81_2007</w:t>
      </w:r>
    </w:p>
    <w:p>
      <w:r>
        <w:t>FR: TAF C-81/2007 du 2 mai 2008</w:t>
      </w:r>
    </w:p>
    <w:p>
      <w:r>
        <w:t>IT: TAF C-81/2007 del 2 maggio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 sind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Die wirtschaftlichen und sozialen Lebensbedingungen in Mazedonien gestalten sich für breite Bevölkerungsschichten schwierig. Obschon das Wirtschaftswachstum seit dem Krisenjahr 2001 kontinuierlich gesteigert werden konnte, lag die Arbeitslosenquote im europäischen Vergleich mit 36,3% im Jahre 2006 weiterhin überdurchschnittlich hoch. Das Durchschnittsnettogehalt eines Berufstätigen betrug im Dezember 2006 bloss ca. EUR 230 (Quelle: http://www.auswaertiges-amt.de, Stand: Oktober 2007). Gemäss World Bank Report lebten im Jahre 2005 rund 22% der mazedonischen Bevölkerung in absoluter Armut (siehe auch Amnesty International Report 2006). Für einen echten Aufholprozess der sich immer noch in der Transformation befindlichen Volkswirtschaft müssten die Wachstumsraten nach Einschätzung von Experten deutlich höher liegen als heute (vgl. Auswärtiges Amt, a.a.O.). Auf entsprechend hohem Niveau bewegt sich der Anteil derer, die sich zur Emigration entschliessen. Der Wille zur Auswanderung wird erfahrungsgemäss in jenen Fällen noch begünstigt, in denen sich Verwandte, Bekannte oder Freunde dauerhaft im Ausland aufhalten bzw. sich dort etabliert haben.</w:t>
      </w:r>
    </w:p>
    <w:p>
      <w:r>
        <w:rPr>
          <w:b/>
        </w:rPr>
        <w:t>E. 4.4</w:t>
      </w:r>
    </w:p>
    <w:p>
      <w:r>
        <w:t>Die Beschwerdeführer bringen in diesem Zusammenhang vor, es gehe nicht an, lediglich auf die allgemeine Lage der Zuwanderer aus Mazedonien und die in zahlreichen Fällen gemachten (negativen) Erfahrungen abzustellen. Dazu ist klarzustellen, dass es in der Tat zu schematisch und nicht haltbar wäre, generell und ohne spezifische Anhaltspunkte, ausschliesslich aufgrund der politischen und/oder wirtschaftlichen Situation im Heimatland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aVEA.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4.5</w:t>
      </w:r>
    </w:p>
    <w:p>
      <w:r>
        <w:t>Bei der Risikoanalyse sind aber nicht nur solch allgemeine Umstände und Erfahrungen, sondern auch, wie oben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der Eingeladenen handelt es sich um eine 22-jährige, unverheiratete Frau, welche sich zwar anlässlich der Gesuchseinreichung als Landwirtin bezeichnete, jedoch keine näheren Angaben zu ihren Erwerbseinkünften bzw. Vermögensverhältnissen machen konnte (vgl. Ziff. 9 und 10 des persönlichen Einreisegesuches). Angesichts der schwierigen Situation, mit der die Landwirte in Mazedonien zu kämpfen haben, ist jedoch davon auszugehen, dass sich aus der Landwirtschaft - auch für lokale Verhältnisse - kein beträchtliches Einkommen erwirtschaften lässt. Abgesehen davon lässt der Umstand, dass gleich eine dreimonatige Landesabwesenheit geplant ist, nicht ohne weiteres darauf schliessen, die Präsenz der Gesuchstellerin sei für die Belange ihrer Familie, mit der sie offenbar zusammenwohnt, unverzichtbar; aufgrund der Aktenlage ist eher davon auszugehen, die allenfalls von ihr geleistete Unterstützung auf dem Familienbetrieb könne durchaus für längere Zeit auch auf andere Weise sichergestellt werden. Insofern darf bezweifelt werden, dass der Eingeladenen im Heimatland besondere Verpflichtungen obliegen, die sie ernsthaft von einer Emigration abzuhalten vermöchten, zumal sie mit ihrer hierzulande lebenden Tante und deren Familie bereits über wichtige Bezugspersonen in der Schweiz verfügt; auch sollen weitere Bekannte von ihr im Kanton Tessin leben (vgl. "Garantiebrief" vom 21. November 2006).</w:t>
      </w:r>
    </w:p>
    <w:p>
      <w:r>
        <w:rPr>
          <w:b/>
        </w:rPr>
        <w:t>E. 5.2</w:t>
      </w:r>
    </w:p>
    <w:p>
      <w:r>
        <w:t>Berücksichtigt man zudem die oben erwähnte allgemeine wirtschaftliche Lage in Mazedonien, dürften die mittelfristigen Zukunftsaussichten der Gesuchstellerin zumindest als schwierig einzustufen sein. In Anbetracht feststellbarer Differenzen betreffend Lebensqualität, sozialer Absicherung und des Lohnniveaus könnte nämlich selbst eine feste Arbeitsstelle im Heimatland nicht verlässlich vom Entschluss abhalten, aus dem Land zu emigrieren, ebenso wenig zurückbleibende Familienangehörige. Vielmehr könnte die Absicht auszuwandern gar von der Hoffnung getragen sein, die in Mazedonien lebenden Angehörigen aus dem Ausland wirtschaftlich besser unterstützen zu können. Vor diesem Hintergrund müssen die Beteuerungen der Beschwerdeführer, wonach genügend Garantien für eine fristgerechte Wiederausreise vorhanden seien, als nicht ausschlaggebend bezeichnet werden. Im Übrigen hegte auch die Schweizerische Vertretung in Skopje, welche mit den sozialen, wirtschaftlichen und politischen Verhältnissen im Herkunftsstaat der Gesuchstellerin gut vertraut ist und sich somit durchaus ein Bild der Einreisewilligen machen kann, grosse Bedenken bezüglich der anstandslosen Wiederausreise und verweigerte formlos die Einreisebewilligung.</w:t>
      </w:r>
    </w:p>
    <w:p>
      <w:r>
        <w:rPr>
          <w:b/>
        </w:rPr>
        <w:t>E. 5.3</w:t>
      </w:r>
    </w:p>
    <w:p>
      <w:r>
        <w:t>Nach dem Gesagten durfte die Vorinstanz daher zu Recht davon ausgehen, die Wiederausreise der Gesuchstellerin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die Beschwerdeführer die rechtzeitige Rückkehr der Eingeladenen zusichern; denn eine solche Garantie ist trotz bester und ehrlicher Absichten nicht möglich bzw. rechtlich nicht durchsetzbar (vgl. Urteil des Bundesverwaltungsgerichts C-2341/2006 vom 7. August 2007 E. 6). Wie bereits mehrfach betont, ist bei der Beurteilung von Einreisebegehren in erster Linie auf die persönlichen Verhältnisse der eingeladenen Personen - und nicht der Gastgeber - abzustellen.</w:t>
      </w:r>
    </w:p>
    <w:p>
      <w:r>
        <w:rPr>
          <w:b/>
        </w:rPr>
        <w:t>E. 6</w:t>
      </w:r>
    </w:p>
    <w:p>
      <w:r>
        <w:t>Aus diesen Gründen ist somit nicht zu beanstanden, dass die Vorinstanz das öffentliche Interesse sowie die Beachtung der geltenden Bestimmungen entsprechend gewichtete und der Gesuchellerin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werden die unterliegenden Beschwerdeführer kostenpflichtig (Art. 63 Abs. 1 VwVG). Die Verfahrenskosten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