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C-8198/2010 vom 25. September 2012</w:t>
      </w:r>
    </w:p>
    <w:p>
      <w:r>
        <w:t>Bundesverwaltungsgericht, 2012-09-25, DE</w:t>
      </w:r>
    </w:p>
    <w:p>
      <w:r>
        <w:rPr>
          <w:b/>
        </w:rPr>
        <w:t xml:space="preserve">Quelle: </w:t>
      </w:r>
      <w:r>
        <w:t>https://mcp.opencaselaw.ch/entscheid/bvger_C-8198_2010</w:t>
      </w:r>
    </w:p>
    <w:p>
      <w:r>
        <w:t>FR: TAF C-8198/2010 du 25 septembre 2012</w:t>
      </w:r>
    </w:p>
    <w:p>
      <w:r>
        <w:t>IT: TAF C-8198/2010 del 25 settembre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21. Oktober 2010 (act. 119) ist die Beschwerdeführerin berührt und hat ein schutzwürdiges Interesse an deren Aufhebung oder Änderung (vgl. Art. 59 ATSG). Nachdem auch der Kostenvorschuss fristgerecht geleistet worden ist (vgl. Bst. F. hiervor), ergibt sich zusammenfassend, dass sämtliche Prozessvoraussetzungen erfüllt sind. Auf die Beschwerde ist grundsätzlich einzutreten (vgl. E. 1.4.2 hiernach).</w:t>
      </w:r>
    </w:p>
    <w:p>
      <w:r>
        <w:rPr>
          <w:b/>
        </w:rPr>
        <w:t>E. 1.4.1</w:t>
      </w:r>
    </w:p>
    <w:p>
      <w:r>
        <w:t>Anfechtungsobjekt bildet die Verfügung der Vorinstanz vom 21. Oktober 2010 (act. 119), mit welcher das Rentenbegehren der Beschwerdeführerin abgewiesen worden ist. Streitig und zu prüfen ist der Rentenanspruch der Versicherten und in diesem Zusammenhang insbesondere, ob die Vorinstanz den Sachverhalt rechtsgenüglich abgeklärt und gewürdigt hat.</w:t>
      </w:r>
    </w:p>
    <w:p>
      <w:r>
        <w:rPr>
          <w:b/>
        </w:rPr>
        <w:t>E. 1.4.2</w:t>
      </w:r>
    </w:p>
    <w:p>
      <w:r>
        <w:t>Sollte die Beschwerdeführerin in ihrer Replik vom 6. Juni 2011 (Postaufgabe: 9. Juni 2011) zusätzlich die Ausrichtung einer Hilflosenentschädigung beantragt haben, ist darauf mangels Vorliegens eines Anfechtungsobjektes nicht einzutreten (vgl. BGE 131 V 164 E. 2.1 und 125 V 413 E. 1a). Darüber hinaus ist ergänzend darauf hinzuweisen, dass aus dem vorliegend anwendbaren zwischenstaatlichen Abkommen vom 8. Juni 1962 zwischen der Schweizerischen Eidgenossenschaft und der Föderati­ven Volksrepublik Jugoslawien über Sozialversicherung (SR 0.831.109.818.1; im Folgenden auch: Sozialversicherungsabkommen; (vgl. zum Ganzen E. 2.1 hiernach) kein Anspruch auf den Export von Hilflosenentschädigungen abgeleitet werden kann (vgl. hierzu BGE 132 V 423 E. 9.5 sowie Art. 8 Bst. e des Sozialversicherungsabkommens).</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Sozialversicherungsabkommens für alle Staatsangehörigen des ehemaligen Ju­goslawiens anwendbar (BGE 126 V 198 E. 2B, 122 V 381 E. 1 mit Hin­weis). Zwischenzeitlich hat die Schweiz mit Nachfolgestaaten des ehe­maligen Jugoslawiens (Kroatien, Slowenien, Mazedonien), nicht aber mit Bosnien Herzegowina neue Abkommen über Soziale Sicherheit abgeschlos­sen. Für die Beschwerdeführerin als bosnisch-herzegowinische Staatsangehörige findet demnach weiterhin das schweizerisch-jugoslawische Sozialversicherungsabkom-men vom 8. Juni 1962 Anwendung (vgl. Urteile des Bundesverwaltungsgerichts [im Folgenden: BVGer] C-4828/2010 vom 7. März 2011 und C-5070/2011 vom 13. Januar 2012, auf welche das Bundesgericht [im Folgenden: BGer] mit Urteilen 9C_329/2011 vom 27. September 2011 und 9C_171/2012 vom 23. Mai 2012 nicht eintrat).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21. Oktober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(act. 86 und 120),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Aus Gründen der Rechtssicherheit ist es geboten, sämtliche pathogenetisch-ätiologisch unklaren syndromalen Beschwerdebilder ohne nachweisbare organische Grundlage den gleichen sozialversicherungsrechtlichen Anforderungen zu unterstellen (BGE 137 V 64 E. 4.3, 136 V 279 E. 3.2.3).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w:t>
      </w:r>
    </w:p>
    <w:p>
      <w:r>
        <w:rPr>
          <w:b/>
        </w:rPr>
        <w:t>E. 2.7</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Da es sich bei Art. 29 Abs. 4 IVG um eine Anspruchsvoraussetzung handelt, kann ein Rentenanspruch der Beschwerdeführerin nur entstehen, wenn sie während eines Jahres durchschnittlich zu mindestens 50% arbeitsunfähig war und nach Ablauf des Wartejahres ein Invaliditätsgrad von mindestens 50% bestanden hat (BGE 121 V 264 E. 5 und 6).</w:t>
      </w:r>
    </w:p>
    <w:p>
      <w:r>
        <w:rPr>
          <w:b/>
        </w:rPr>
        <w:t>E. 2.8</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Beim Zusammenwirken von physischen und psychischen Beeinträchtigungen ist es grundsätzlich nicht gerechtfertigt, die somatischen und psychischen Befunde isoliert abzuklären. Vielmehr ist eine interdisziplinäre Untersuchung durchzuführen (vgl. Urteile des BGer 8C_168/2008 vom 11. August 2008 E. 6.2.2 und 8C_189/2008 vom 4. Juli 2008 E. 5 mit Hinweisen).</w:t>
      </w:r>
    </w:p>
    <w:p>
      <w:r>
        <w:rPr>
          <w:b/>
        </w:rPr>
        <w:t>E. 3</w:t>
      </w:r>
    </w:p>
    <w:p>
      <w:r>
        <w:t>Die Vorinstanz stützte sich im Rahmen des Erlasses der Verfügung vom 21. Oktober 2010 in erster Linie auf die Berichte der RAD-Ärztin Dr. med. C._______ vom 21. Mai 2010 (act. 87), 28. Juni 2010 (act. 95) und 6. Oktober 2010 (act. 118). In diesem Zusammenhang ist darauf hinzuweisen, dass die während des Beschwerdeverfahrens verfassten Stellungnahmen von Dr. med. C._______ vom 27. April 2011 (act. 122) und 25. August 2011 (act. 124) sowie die zahlreichen Arztberichte aus dem Ausland vorliegend ebenfalls Berücksichtigung finden können, obwohl diese nach dem massgeblichen Verfügungszeitpunkt (21. Oktober 2010) verfasst wurden, weil sie sich auf die Situation vor Verfügungserlass beziehen (vgl. BGE 129 V 1 E. 1.2, BGE 116 V 80 E. 6b; Urteile des BGer 8C_278/2011 vom 26. Juli 2011 E. 5.5 und 9C_116/2010 vom 20. April 2010 E. 3.2.2).</w:t>
      </w:r>
    </w:p>
    <w:p>
      <w:r>
        <w:rPr>
          <w:b/>
        </w:rPr>
        <w:t>E. 3.1</w:t>
      </w:r>
    </w:p>
    <w:p>
      <w:r>
        <w:t>Dr. med. C._______ erwähnte in Kenntnis zahlreicher medizinischer Arztberichte aus dem Ausland in ihrer Stellungnahme vom 21. Mai 2010 als Hauptdiagnose sowohl ein cervico-brachiales als auch ein lumbales Syndrom (ICD-10: M54.2 und M54.5) und attestierte der Beschwerdeführerin keine Arbeitsunfähigkeit. Sie war weiter der Ansicht, aus somatischer Sicht bestehe ein degeneratives Leiden. Seit zwei Jahren leide die Versicherte unter cervicalen und lumbalen Beschwerden. Es lägen keine neurologischen Defizite vor. Laut den klinischen Untersuchungen sei die Mobilität der Wirbelsäule erhalten geblieben. Die Behinderungen im Haushalt seien nicht signifikant. Dasselbe gelte für die Beeinträchtigung im kardiologischen Bereich. In psychischer Hinsicht handle es sich bei der Versicherten um ein depressives Geschehen, welches keinen invalidisierenden Charakter aufweise; eher handle es sich um einen reaktiven Zustand in einer schwierigen familiären Situation. Schliesslich schätzte Dr. med. C._______ die Invalidität im Bereich Haushalt auf 4.8 % (act. 87). Nach Einsicht in weitere ausländische Dokumente (act. 88 bis 94) vertrat Dr. med. C._______ in ihrer Stellungnahme vom 28. Juni 2010 die Ansicht, ihre frühere Beurteilung vom 21. Mai 2010 sei nicht abzuändern, die Behinderungen bei der Ausübung von Haushaltsarbeiten seien nicht bedeutsam (act. 95). Im Vorbescheidverfahren resp. in Kenntnis weiterer Arztberichte aus der Heimat der Versicherten (act. 97 bis 112) war Dr. med. C._______ am 6. Oktober 2010 gleicher Auffassung wie bereits in den früheren Beurteilungen vom 21. Mai und 28. Juni 2010 (act. 118).</w:t>
      </w:r>
    </w:p>
    <w:p>
      <w:r>
        <w:rPr>
          <w:b/>
        </w:rPr>
        <w:t>E. 3.2.1</w:t>
      </w:r>
    </w:p>
    <w:p>
      <w:r>
        <w:t>Wie bereits dargelegt wurde (vgl. E. 2.7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Zwar kann RAD-Stellungnahmen - auch wenn den entsprechenden Ärzten die an sich zwingende fachärztliche Ausbildung fehlt - unter gewissen Voraussetzungen ausnahmsweise Gewicht zukommen resp. könnten diese als beweiskräftig qualifiziert werden (vgl. hierzu bspw. Urteil des BVGer C-2862 vom 7. Mai 2012 E. 3.3.2. mit Hinweis). Da vorliegend weder in somatischer noch in psychisch-psychiatrischer Hinsicht eine rechtsgenügliche Expertise aktenkundig ist und darüber hinaus nicht eruierbar ist, über welche fachärztliche Qualifikation Dr. med. C._______ verfügt (vgl. www.doctor-fmh.ch), kann auf deren Beurteilungen nicht vorbehaltlos abgestellt werden. Mit anderen Worten kann auf den Beizug entsprechend ausgebildeter Fachärzte und/oder Fachärztinnen nicht verzichtet werden.</w:t>
      </w:r>
    </w:p>
    <w:p>
      <w:r>
        <w:rPr>
          <w:b/>
        </w:rPr>
        <w:t>E. 3.2.2</w:t>
      </w:r>
    </w:p>
    <w:p>
      <w:r>
        <w:t>Demnach kann die Frage, ob, und wenn ja, für wie lange und in welchem Ausmass die Beschwerdeführerin wegen ihrer somatischen und psychisch-psychiatrischen Beeinträchtigungen arbeits- resp. erwerbsunfähig gewesen war resp. ist, nicht rechtsgenüglich beantwortet werden. Es ist demnach auch nicht erstellt, ab wann allenfalls die einjährige gesetzliche Wartezeit eröffnet werden konnte resp. die Beschwerdeführerin aufgrund ihrer gesundheitlichen Beschwerden während eines Jahres ohne wesentli­chen Unterbruch durch­schnittlich mindestens zu 50 % arbeitsunfähig und nach Ablauf die­ses Jahres min­destens zu 50 % invalid gewesen war resp. ist (vgl. zum Ganzen insb. E. 2.7 hiervor). Hinzu kommt, dass weitere medizinische Abklärungen insbesondere auch aus den nachfolgenden Gründen unabdingbar sind.</w:t>
      </w:r>
    </w:p>
    <w:p>
      <w:r>
        <w:rPr>
          <w:b/>
        </w:rPr>
        <w:t>E. 3.2.3</w:t>
      </w:r>
    </w:p>
    <w:p>
      <w:r>
        <w:t>Nach dem vorstehend Dargelegten fehlen im vorliegenden Fall rechtsgenügliche, fachärztliche Feststellungen zum Beginn und Ausmass der Arbeits(un)fähigkeit der Beschwerdeführerin. Obwohl eine oder mehrere Diagnosen für sich alleine genommen keinen Schluss auf eine gesundheitlich bedingte Einschränkung in der Arbeitsfähigkeit zulassen (vgl. BGE 132 V 65 E. 3.4 mit Hinweisen) sowie retrospektive Beurteilungen der Arbeitsfähigkeit schwierig sind und entsprechende Begutachtungen deshalb erhöhten Ansprüchen genügen sollten (vgl. Urteil des EVG I 200/03 vom 26. Juli 2004 E. 4.5), kann nicht im Sinne einer antizipierten Beweiswürdigung (vgl. hierzu BGE 131 I 153 E. 3; SVR 2007 IV Nr. 45 S. 149 E. 4; Urteil des BGer I 9/07 vom 9. Februar 2007 E. 4) gesagt werden, dass von einer zusätzlichen, medizinisch nachvollziehbar und schlüssig begründeten Beurteilung keine verwertbaren entscheidrelevanten Erkenntnisse zum Beginn und Grad der Arbeitsunfähigkeit der Beschwerdeführerin zu erwarten sind (vgl. zum Ganzen Urteil des BGer 8C_189/2008 vom 4. Juli 2008 E. 5 mit Hinweisen).</w:t>
      </w:r>
    </w:p>
    <w:p>
      <w:r>
        <w:rPr>
          <w:b/>
        </w:rPr>
        <w:t>E. 3.3</w:t>
      </w:r>
    </w:p>
    <w:p>
      <w:r>
        <w:t>Bei der Beschwerdeführerin wurden sowohl aus psychisch-psychia-trischer als auch aus somatischer Sicht zahlreiche Diagnosen gestellt:</w:t>
      </w:r>
    </w:p>
    <w:p>
      <w:r>
        <w:rPr>
          <w:b/>
        </w:rPr>
        <w:t>E. 3.3.1</w:t>
      </w:r>
    </w:p>
    <w:p>
      <w:r>
        <w:t>So wurden gemäss den zahlreich vorhandenen ärztlichen Unterlagen in psychisch-psychiatrischer Hinsicht eine schwere depressive Episode ohne psychotische Symptome (ICD-10: F32.2), eine rezidivierende depressive Störung (ICD-10: F33), eine rezidivierende depressive Störung, gegenwärtig mittelgradige Episode (ICD-10: 33.1), eine rezidivierende depressive Störung, gegenwärtig schwere Episode ohne psychotische Symptome (ICD-33.2), vorwiegend Zwangshandlungen (Zwangsrituale; ICD-10: 42.1), Reaktionen auf schwere Belastungen und Anpassungsstörungen (ICD-10: F43), eine posttraumatische Belastungsstörung (ICD-10: 43.1), eine Somatisierungsstörung (ICD-10: F45.0), eine somatoforme Störung, nicht näher bezeichnet (ICD-10: F45.9), eine Neurose, Kontaktanlässe mit Bezug auf bestimmte psychosoziale Umstände (ICD-10: Z64) sowie eine nicht näher bezeichnete organische psychische Störung aufgrund einer Schädigung oder Funktionsstörung des Gehirns oder einer körperlichen Krankheit (ICD-10: F06.9) diagnostiziert (act. 76, 78, 80, 88, 89, 99, 102, 104, 109, 111 und 112).</w:t>
      </w:r>
    </w:p>
    <w:p>
      <w:r>
        <w:rPr>
          <w:b/>
        </w:rPr>
        <w:t>E. 3.3.2</w:t>
      </w:r>
    </w:p>
    <w:p>
      <w:r>
        <w:t>In somatischer Hinsicht wurde unter anderem die Diagnosen eines cervico-brachialen und lumbalen Schmerzsyndroms (ICD-10: M 54.2 [Zervikalneuralgie] und 54.5 [Kreuzschmerz]; act. 13, 48, 52, 65, 87, 95 und 118), einer Hernia hiatalis oesophagei (act. 89 und 92), einer Spondylarthrose (act. 15, 34, 35, 37, 39, 40, 46, 49, 52, 57, 62, 63, 66 und 89), einer Angina pectoris (act. 68, 77 und 83), einer Kardiomyopathia (act. 77, 83 und 89), einer Herzinsuffizienz (act. 82), einer Radiculopathia (act. 81), eines Bluthochdrucks (act. 68), einer chronischen Gastritis (act. 55 und 63), einer hypotrophio musculorum extremitatis seperioris (act. 49 und 53) sowie einer chronische Polyarthritis (act. 15, 34, 35, 37, 39, 40 und 46) gestellt.</w:t>
      </w:r>
    </w:p>
    <w:p>
      <w:r>
        <w:rPr>
          <w:b/>
        </w:rPr>
        <w:t>E. 3.3.3</w:t>
      </w:r>
    </w:p>
    <w:p>
      <w:r>
        <w:t>Da nach dem Dargelegten im vorliegenden Fall zahlreiche physische und psychische Beeinträchtigungen zusammenwirken, lässt sich eine isolierte Betrachtung der somatischen und psychischen Befunde nicht rechtfertigen. Mit anderen Worten ist aufgrund dieser Sachlage ein interdisziplinäres medizinisches Gutachten einzuholen (vgl. hierzu Urteil des BGer 8C_168/2008 vom 11. August 2008 E. 6.2.2. mit Hinweisen; vgl. auch E. 2.7 letzter Absatz hiervor). In den genannten Umständen liegt eine unvollständige Sachverhaltsabklärung resp. wurde im vorliegend zu beurteilenden Rentenverfahren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Erhebung der bisher vollständig ungeklärten Fragen - dem Zusammenwirken der vorhandenen psychischen und physischen Leiden der Beschwerdeführerin und deren Auswirkungen auf die Arbeits- und Leistungsfähigkeit - begründet liegt (vgl. BGE 137 V 210 E. 4.4.1.4). Weiter ist Folgendes zu beachten:</w:t>
      </w:r>
    </w:p>
    <w:p>
      <w:r>
        <w:rPr>
          <w:b/>
        </w:rPr>
        <w:t>E. 4.1</w:t>
      </w:r>
    </w:p>
    <w:p>
      <w:r>
        <w:t>Zwar übermittelte die Vorinstanz der Beschwerdeführerin die Fragebögen für die im Haushalt tätigen Versicherten (act. 29) bzw. für die versicherte Person (act. 31). Auf letzterem gab die Versicherte auf die Frage nach der näheren Beschreibung der ausgeübten Tätigkeit "nur Haushalt; keine Arbeit" an. Ohne weitere Abklärungen resp. ohne die Beschwerdeführerin explizit zu fragen, ob sie bei voller Gesundheit auch nach ihrer Ausreise in ihre Heimat weiterhin ausserhäuslich erwerbstätig wäre, ging die Vorinstanz von einem Statuswechsel aus und bemass die Invalidität der Versicherten nach der Methode des Betätigungsvergleichs. Insbesondere mit Blick auf den Umstand, dass die Beschwerdeführerin vor ihrer Ausreise in ihre Heimat in der Schweiz als Küchenhilfe und Alleinköchin gearbeitet (act. 6; vgl. auch act. 18, wo von qualifizierter Arbeitskraft die Rede ist) und beschwerdeweise geltend gemacht hatte, aufgrund ihres schlechten Gesundheitszustandes resp. Behinderungsgrades sei sie nicht in der Lage, auf dem Arbeitsmarkt während auch nur zwei Stunden täglich irgendwelche leichtere Tätigkeiten auszuüben, sind auch hinsichtlich des Status weitere Abklärungen unumgänglich. Hinweise darauf, dass die Invalidität allenfalls nach der sogenannten allgemeinen Methode des Einkommensvergleichs oder der gemischten Methode zu bemessen wäre, ergeben sich auch aus der bei der Versicherten vorliegenden wirtschaftlichen und familiären Situation, ist doch der Ehemann der Beschwerdeführerin ebenfalls ohne Arbeit. Schliesslich ist in diesem Zusammenhang ergänzend darauf hinzuweisen, dass die Vorinstanz beim Restaurant D._______ zwar einen Fragebogen Arbeitgeber verlangt hatte (act. 27), sich dieser jedoch nicht in den Akten befindet. Somit ergeben sich auch mit Blick auf diesen Umstand keine Hinweise auf den Status bzw. einen Wechsel desselben.</w:t>
      </w:r>
    </w:p>
    <w:p>
      <w:r>
        <w:rPr>
          <w:b/>
        </w:rPr>
        <w:t>E. 4.2</w:t>
      </w:r>
    </w:p>
    <w:p>
      <w:r>
        <w:t>Nach Vorliegen der Ergebnisse der zusätzlich erforderlichen Begutachtung - im Rahmen welcher sämtliche bisher verfassten ärztlichen Berichte zu berücksichtigen sind -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w:t>
      </w:r>
    </w:p>
    <w:p>
      <w:r>
        <w:rPr>
          <w:b/>
        </w:rPr>
        <w:t>E. 5</w:t>
      </w:r>
    </w:p>
    <w:p>
      <w:r>
        <w:t>Aufgrund der vorstehenden Erwägungen ist zusammenfassend festzustellen, dass die Beschwerde vom 15. November 2010 insoweit gutzuheissen ist, als dass die angefochtene Verfügung vom 21. Oktober 2010 aufzuheben ist und die Akten im Sinne der Erwägungen an die Vorinstanz zum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300.- nach Eintritt der Rechtskraft des vorliegenden Urteils zurückzuerstatten. Der Vorinstanz sind ebenfalls keine Verfahrenskosten aufzuerlegen (Art. 63 Abs. 2 VwVG).</w:t>
      </w:r>
    </w:p>
    <w:p>
      <w:r>
        <w:rPr>
          <w:b/>
        </w:rPr>
        <w:t>E. 6.2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