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C-8179/2010 vom 14. Dezember 2012</w:t>
      </w:r>
    </w:p>
    <w:p>
      <w:r>
        <w:t>Bundesverwaltungsgericht, 2012-12-14, IT</w:t>
      </w:r>
    </w:p>
    <w:p>
      <w:r>
        <w:rPr>
          <w:b/>
        </w:rPr>
        <w:t xml:space="preserve">Quelle: </w:t>
      </w:r>
      <w:r>
        <w:t>https://mcp.opencaselaw.ch/entscheid/bvger_C-8179_2010</w:t>
      </w:r>
    </w:p>
    <w:p>
      <w:r>
        <w:t>FR: TAF C-8179/2010 du 14 décembre 2012</w:t>
      </w:r>
    </w:p>
    <w:p>
      <w:r>
        <w:t>IT: TAF C-8179/2010 del 14 dicembre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entro i termini stabiliti l'anticipo corrispondente alle spese processuali (per l'esattezza 303 franchi). Il gravame è dunque ammissibile, nulla ostando all'esame del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5.1</w:t>
      </w:r>
    </w:p>
    <w:p>
      <w:r>
        <w:t>Il periodo di cognizione giudiziaria dello scrivente Tribunale amministrativo federale si estende fino al'11 ottobre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5.2</w:t>
      </w:r>
    </w:p>
    <w:p>
      <w:r>
        <w:t>Può essere tuttavia precisato che il giudice deve tenere conto dei fatti verificatesi dopo la data dell'impugnata decisione quando essi possono imporsi quali elementi d'accertamento retrospettivo della situazione anteriore alla decisione stessa (DTF 129 V 1 consid. 1.2, DTF 121 V 362 consid. 1b). In altri termini, dei fatti sopraggiunti posteriormente alla data della decisione dell'autorità inferiore devono nondimeno essere presi in considerazione se sono strettamente connessi all'oggetto litigioso e sono suscettibili di influire sull'apprezzamento del giudice al momento in cui detta decisione litigiosa è stata resa (cfr. sentenze del Tribunale federale 8C_278/2011 del 26 luglio 2011 consid. 5.5, 9C_116/2010 del 20 aprile 2010 consid. 3.2.2., DTF 121 V 362 consid. 1b, DTF 118 V 200 consid. 3a in fine, DTF 99 V 98 consid. 4).</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 Questa norma, in particolare per quanto riguarda il periodo di carenza di 6 mesi, si applica anche ai casi dove l'incapacità al lavoro dovesse iniziare dopo il 1° gennaio del 2007 e l'eventuale diritto alla rendita dopo il 1° gennaio 2008 (cfr. sentenza del Tribunale federale 9C_562/12 del 18 ottobre 2012 consid. 3.4).</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L'assicurata non ha più svolto attività lucrativa dopo il 1988. Dopo il rimpatrio, si è dedicata alla sua famiglia (si è sposata in quell'anno secondo l'anamnesi sociale della perizia psichiatrica, doc. 84) ed ha avuto due figli nel 1990 e 1992.</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Dalla documentazione ad atti si evince che la richiedente è portatrice, principalmente, di una patologia psichica che il Dott. Baghezy, nella perizia consegnata il 9 agosto 2010 (visita il 29 luglio precedente, doc. 84) ha classificato come "distimia (ICD 10-F34.1)". Dalla documentazione pervenuta tramite l'INPS di Casarano risulta che la richiedente soffre di una sindrome depressiva cronica grave e disturbo da attacco di panico ricorrenti; esiti di safenectomia arti inferiori, ipercolesteolemia, spondiloartrosi con discopatie cervicali. Non vengono rilevate ulteriori patologie, sebbene, stando agli atti, l'interessata si sottoponeva di frequente ad indagini sanitarie approfondite in diverse discipline (neurologia, gastroenterologia, nefrologia, dermatologia).</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w:t>
      </w:r>
    </w:p>
    <w:p>
      <w:r>
        <w:rPr>
          <w:b/>
        </w:rPr>
        <w:t>E. 9.3</w:t>
      </w:r>
    </w:p>
    <w:p>
      <w:r>
        <w:t>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il medico dell'INPS pone un tasso d'invalidità del 55%, ed il medico psichiatra curante, Dott. Cesi, in più referti, indica che la paziente non sarebbe in grado di attendere alle sue usuali occupazioni. Di contro, la Dott.sa Caracciolo, alla quale l'INPS si è rivolto per ottenere un'indagine ed una valutazione indipendente su richiesta dell'UAIE, nel formulario medico del settembre 2009 (doc. 59), indica una diagnosi meno severa di quella espressa dal Dott. Cesi e dal medico dell'INPS, ossia un disturbo da attacchi di panico in paziente con reattività a problematiche familiari, e considera l'incidenza funzionale di questa patologia come "lieve-media".</w:t>
      </w:r>
    </w:p>
    <w:p>
      <w:r>
        <w:rPr>
          <w:b/>
        </w:rPr>
        <w:t>E. 10.2</w:t>
      </w:r>
    </w:p>
    <w:p>
      <w:r>
        <w:t>Atteso che sussistevano divergenze in merito a diagnosi e valutazione anche da parte dei medici italiani, l'UAIE ha giustamente ritenuto necessario procedere ad un accertamento specialistico in Svizzera. Al proposito, va rilevato che una perizia richiesta dall'UAIE (in casu ad uno specialista in psichiatria)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DTF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10.3.1</w:t>
      </w:r>
    </w:p>
    <w:p>
      <w:r>
        <w:t>A._______ presenta dunque principalmente una distimia. Ora, di regola la diagnosi di distimia non è invalidante, a meno che sia associata a altri disturbi patologici (sentenza del Tribunale federale 9C_98/2010 del 28 aprile 2010 consid. 2.2.2 con i rif.). All'analisi dello stato psichico, il Dott. Bazeghy descrive una persona lucida, ben orientata nello spazio e nel tempo, con eloquio spontaneo, simultaneo e coordinato; la percezione è pronta e priva di anomalie; non vi è nessun disturbo cognitivo, né comportamentale. La paziente gode di comprensione adeguata con intelligenza nella norma. Essa non presenta alcun disturbo di ideazione. L'interessata assume a tratti una mimica di tipo depressivo e, a tratti, espressivo. L'esperto ha notato una labilità emotiva accompagnata da un'affettività a tratti depressiva. Per quel che riguarda gli attacchi di panico sembra che questi siano diminuiti negli ultimi mesi. Lo specialista stima che la cura in atto, importante, deve essere mantenuta ed è del parere che esplica buoni effetti. Manifestazioni di rinuncia, perdita d'interesse e piacere per le attività, tendenza all'isolamento ed altro rientrano nel quadro della definizione diagnostica sopra ricordata e l'esperto non intravvede una diagnosi di maggiore incidenza debilitante. Conto tenuto di ancora possibili attacchi di panico e delle circostanze generali, il Dott. Bazeghy ammette comunque un'incapacità di lavoro generale del 20%. Egli constata tuttavia che la paziente svolge regolarmente la sua attività di casalinga e, in tutti questi anni, è riuscita a gestire la famiglia, crescendo 2 figli, malgrado un conflitto importante con l'ex marito ed delusioni affettive (peraltro menzionate in diagnosi anche dalla Dott.ssa Caracciolo, doc. 59).</w:t>
      </w:r>
    </w:p>
    <w:p>
      <w:r>
        <w:rPr>
          <w:b/>
        </w:rPr>
        <w:t>E. 10.3.2</w:t>
      </w:r>
    </w:p>
    <w:p>
      <w:r>
        <w:t>Per il resto, l'assicurata soffre di problemi ortopedici non invalidanti. L'apparato locomotorio/articolare si presenta funzionalmente utile a parte qualche limitazione al rachide cervicale e lombare. Le radiografie e RM ad atti non depongono per una patologia comportante una compromissione valetudinaria. L'ipercolesterolemia è solo una costatazione sanitaria e/o un rischio per la salute e non rappresenta una malattia debilitante. L'assicurata gode infine di buone condizioni generali di salute, ogni altro organo ed apparato essendo indenne da patologie.</w:t>
      </w:r>
    </w:p>
    <w:p>
      <w:r>
        <w:rPr>
          <w:b/>
        </w:rPr>
        <w:t>E. 11.1</w:t>
      </w:r>
    </w:p>
    <w:p>
      <w:r>
        <w:t>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 VSI 2001 p. 265).</w:t>
      </w:r>
    </w:p>
    <w:p>
      <w:r>
        <w:rPr>
          <w:b/>
        </w:rPr>
        <w:t>E. 11.2</w:t>
      </w:r>
    </w:p>
    <w:p>
      <w:r>
        <w:t>Nel caso in esame, il questionario per le persone occupate nell'economia domestica è incompleto (doc. 16). Da informazioni assunte presso l'autorità inferiore risulta probabile un errore d'archiviazione (doc. TAF 16). Ciò non toglie che i medici dell'UAIE (cfr. doc. 87), abbiano valutato le incombenze domestiche e abbiano espresso una valutazione attendibile sulla base delle conclusioni espresse dal Dott. Bazeghy. Analizzando la situazione medica con le incombenze domestiche (famiglia di 3 persone in tutto in una casa di 4 vani), si giunge a ritenere che l'interessata, alla luce delle patologie presenti, potrebbe incontrare delle difficoltà nell'ambito dei lavori più pesanti (come le grandi pulizie, stendere la biancheria, ecc.), mentre in compiti più leggeri la sua capacità resta quasi intatta (condotta dell'economia domestica, preparazione dei pasti, riordino, ecc.). Nel complesso, l'interessata presenta una capacità al lavoro completa nell'ambito della consuete attività domestiche, come indicato dai Dott.ri Habicht (psichiatra) e Lamberti dell'UAIE nelle loro valutazioni del 5/10 ottobre 2010.</w:t>
      </w:r>
    </w:p>
    <w:p>
      <w:r>
        <w:rPr>
          <w:b/>
        </w:rPr>
        <w:t>E. 11.3</w:t>
      </w:r>
    </w:p>
    <w:p>
      <w:r>
        <w:t>Il collegio giudicante non ha pertanto alcun motivo di scostarsi dal convincente parere del Dott. Bazeghy e dei due medici dell'UAIE (Dott.ri Lamberti ed Habicht),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portatrice, A._______, entro la data della decisione in esame, sarebbe stata in grado di attendere alle sue usuali faccende domestiche in modo tale da escludere un'invalidità di rilievo ai fini della rendita, ossia con un grado d'incapacità di lavoro del 20% (Dott. Bazeghy) o, secondo il parere dei medici dell'UAIE, addirittura nullo nell'ambito dei lavori domestici. Non è ovviamente necessario dirimere questa divergenza dal momento che, in ogni caso, l'invalidità è inferiore al 40%. In queste circostanze il ricorso deve essere respinto e l'impugnata decisione confermata.</w:t>
      </w:r>
    </w:p>
    <w:p>
      <w:r>
        <w:rPr>
          <w:b/>
        </w:rPr>
        <w:t>E. 12.1</w:t>
      </w:r>
    </w:p>
    <w:p>
      <w:r>
        <w:t>Le spese processuali, fissate a 303 franchi, sono messe a carico dell'insorgente e vengono compensate con l'anticipo versato dalla ricorrente.</w:t>
      </w:r>
    </w:p>
    <w:p>
      <w:r>
        <w:rPr>
          <w:b/>
        </w:rPr>
        <w:t>E. 12.2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