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C-8162/2010 vom 30. September 2011</w:t>
      </w:r>
    </w:p>
    <w:p>
      <w:r>
        <w:t>Bundesverwaltungsgericht, 2011-09-30, IT</w:t>
      </w:r>
    </w:p>
    <w:p>
      <w:r>
        <w:rPr>
          <w:b/>
        </w:rPr>
        <w:t xml:space="preserve">Quelle: </w:t>
      </w:r>
      <w:r>
        <w:t>https://mcp.opencaselaw.ch/entscheid/bvger_C-8162_2010</w:t>
      </w:r>
    </w:p>
    <w:p>
      <w:r>
        <w:t>FR: TAF C-8162/2010 du 30 septembre 2011</w:t>
      </w:r>
    </w:p>
    <w:p>
      <w:r>
        <w:t>IT: TAF C-8162/2010 del 30 settembre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136 V 24 consid. 4.3).</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3 e 4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136 V 24 consid. 4.3). In tal caso applicherà, per analogia, le disposizioni sulla revisione di rendite in corso (art. 17 cpv. 1 LPGA, art. 87 segg. OAI). In concreto, la prima decisione cresciuta in giudicato, che ha rifiutato di accordare alla ricorrente una rendita d'invalidità, è stata resa il 18 dicembre 2006. La ricorrente ha poi presentato la sua seconda domanda di rendita il 27 gennaio 2009. L'UAIE ha emanato una decisione di rifiuto di prestazioni il 14 ottobre 2010. Ne consegue che il periodo di riferimento per giudicare se è intervenuta una modifica rilevante del grado d'invalidità può essere limitato dal 18 dicembre 2006 al 14 ottobre 2010.</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L'assicurata non ha più svolto attività lucrativa dopo il 16 gennaio 2008. Dal luglio 2007 lavorava come collaboratrice domestica presso una famiglia locale per 36 ore la settimana. Non sono conosciute le ragioni del licenziamento. Secondo un contatto telefonico fra l'amministrazione e l'ex datore di lavoro, l'orario normale d'attività settimanale per le collaboratrici familiari sarebbe di 44 ore (doc. 100).</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OAI precisa che per mansioni consuete di una persona senza attività lucrativa occupata nell'economia domestica s'intendono gli usuali lavori domestici, l'educazione dei figli nonché le attività artistiche e di pubblica utilità.</w:t>
      </w:r>
    </w:p>
    <w:p>
      <w:r>
        <w:rPr>
          <w:b/>
        </w:rPr>
        <w:t>E. 8.4</w:t>
      </w:r>
    </w:p>
    <w:p>
      <w:r>
        <w:t>Va infine precisato che secondo l'art. 28a cpv. 3 LAI, se l'assicurato esercita un'attività lucrativa a tempo parziale, l'invalidità per questa attività è valutata secondo l'art. 16 LPGA. Se svolge anche le mansioni consuete, l'invalidità per questa attività è determinata secondo il cpv. 2 (vedi supra). In tal caso, occorre determinare la parte dell'attività lucrativa e la parte dello svolgimento delle mansioni consuete e valutare il grado d'invalidità nei due ambiti.</w:t>
      </w:r>
    </w:p>
    <w:p>
      <w:r>
        <w:rPr>
          <w:b/>
        </w:rPr>
        <w:t>E. 8.5</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8.6</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Nella fattispecie, la richiedente soffre di spondilo artrosi in esiti di laminectomia L4-L5 (febbraio 2009) per stenosi lombare in soggetto in sovrappeso con impegno funzionale medio, ipertensione arteriosa, ateroma sia carotidea, stress incontinence da cistocele, ernia iatale da scivolamento in gastroduodenite, flebopatia arti inferiori (cfr. segnatamente la perizia medica particolareggiata del 9 aprile 2010, doc. 96).</w:t>
      </w:r>
    </w:p>
    <w:p>
      <w:r>
        <w:rPr>
          <w:b/>
        </w:rPr>
        <w:t>E. 10.1</w:t>
      </w:r>
    </w:p>
    <w:p>
      <w:r>
        <w:t>Per quanto concerne le conseguenze invalidanti delle menzionate affezioni, il servizio medico dell'INPS pone un tasso d'invalidità del 60% (doc. 84, 96). Dal canto suo, il Dott. Battaglia, del SMR "Rhône", nega il requisito dell'incapacità al lavoro di livello pensionabile. Egli ritiene che l'interessata non potrebbe più svolgere il precedente lavoro di collaboratrice familiare, ma a lei sarebbero proponibili, al cento per cento, attività più leggere e rispettose di determinate condizioni di porti di pesi, posture, movimenti, ecc.</w:t>
      </w:r>
    </w:p>
    <w:p>
      <w:r>
        <w:rPr>
          <w:b/>
        </w:rPr>
        <w:t>E. 10.2</w:t>
      </w:r>
    </w:p>
    <w:p>
      <w:r>
        <w:t>Lo scrivente Tribunale considera che l'istruttoria non è stata adeguatamente svolta. La carenza istruttoria principale consiste nel fatto che il medico del SMR interpellato il 26 novembre 2009 aveva constatato che l'interessata era da poco stata operata di laminectomia e si è limitato a chiedere, come aggiornamento una perizia medica dettagliata su formulario E 213. Ora, alla luce delle delicata operazione resasi necessaria a causa di una stenosi lombare, il medico di fiducia dell'UAIE avrebbe dovuto chiedere, perlomeno, un dettagliato rapporto ortopedico ed un rapporto neurologico. Egli si è invece fondato esclusivamente sulla descrizione dell'apparato osteo-articolare riportata nell'E 213. Inoltre, egli ha espresso il suo parere finale fondandosi su un'ipotesi, secondo la quale, generalmente, dopo tre mesi da un intervento di laminectomia, il paziente ritroverebbe una capacità di lavoro piena. Questa supposizione non trova conferma agli atti. Ora, di regola, un parere medico deve essere circostanziato, soprattutto se non si fonda su un esame diretto del paziente, e deve trarre ragione da altri esami di tipo specialistico.</w:t>
      </w:r>
    </w:p>
    <w:p>
      <w:r>
        <w:rPr>
          <w:b/>
        </w:rPr>
        <w:t>E. 10.3</w:t>
      </w:r>
    </w:p>
    <w:p>
      <w:r>
        <w:t>Quando il parere del servizio medico dell'UAIE diverge nettamente dagli altri giudizi, e non può essere fondato su documentazione oggettiva avente la qualità di prova, occorre procedere ad una nuova investigazione medica. Infatti, è compito del consulente del Servizio medico regionale stabilire in che misura il danno alla salute limita l'interessato nelle sue capacità psicofisiche, attenendosi unicamente alle funzioni importanti relative alle attività lavorative che, secondo la sua esperienza di vita, entrano in linea di conto nel caso concreto (art. 49 OAI, vedi anche DTF 125 V 261 consid. 4). Va ancora aggiunto che le annotazioni del Dott. Battaglia del 10 maggio 2010 appaiono piuttosto succinte e non possono essere assunte a fondamento per esaminare la fattispecie. Ora, fatte queste considerazioni, il collegio giudicante si trova nell'impossibilità di determinare la misura dell'eventuale incapacità lavorativa dell'interessata e la sua incapacità di svolgere le mansioni consuete e da quando questa invalidità esisterebbe.</w:t>
      </w:r>
    </w:p>
    <w:p>
      <w:r>
        <w:rPr>
          <w:b/>
        </w:rPr>
        <w:t>E. 10.4</w:t>
      </w:r>
    </w:p>
    <w:p>
      <w:r>
        <w:t>Va ancora aggiunto che nel caso in cui si debba valutare l'invalidità di un assicurato che si trova in età avanzata e ormai prossima a quella che dà diritto ad una rendita dell'assicurazione svizzera per la vecchiaia, bisogna procedere ad un'analisi globale della situazione e domandarsi se, nella realtà, questo assicurato è in misura di accedere ad un'attività in un mercato del lavoro supposto equilibrato (SVR 2003 IV n. 35 consid. 2.3, sentenza del Tribunale federale I 500/06 del 30 agosto 2007 consid. 4.4 e sentenza del Tribunale federale 9C_612/2007 del 14 luglio 2008 consid. 5.1 con i riferimenti). L'istruttoria dell'autorità inferiore è carente anche da questo punto di vista.</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(sentenza del Tribunale federale 9C_243/2010 del 28 giugno 2011 consid. 4.4.1.4).</w:t>
      </w:r>
    </w:p>
    <w:p>
      <w:r>
        <w:rPr>
          <w:b/>
        </w:rPr>
        <w:t>E. 11.2</w:t>
      </w:r>
    </w:p>
    <w:p>
      <w:r>
        <w:t>L'UAIE dovrà quindi completare l'istruttoria delucidando la situazione medica per il periodo dal gennaio 2008 (cessazione dell'attività lucrativa) fino alla data dell'impugnata decisione (14 ottobre 2010). L'UAIE emanerà poi un nuovo provvedimento impugnabile. A tale fine la ricorrente dovrà essere sottoposta ad accertamenti suppletivi in ortopedia e neurologia. L'incarto sarà poi inviato in esame al servizio medico dell'UAIE il quale si pronuncerà in merito all'evoluzione dell'incapacità lavorativa e quella di svolgere le mansioni consuete fra il gennaio 2008 ed il 14 ottobre 2010. Se del caso, l'amministrazione effettuerà poi un'indagine comparativa dei redditi, tenendo conto della reale capacità dell'assicurata di riprendere un'attività lucrativa vista la sua età.</w:t>
      </w:r>
    </w:p>
    <w:p>
      <w:r>
        <w:rPr>
          <w:b/>
        </w:rPr>
        <w:t>E. 12.1</w:t>
      </w:r>
    </w:p>
    <w:p>
      <w:r>
        <w:t>Visto l'esito del ricorso, non vengono prelevate spese processuali e l'anticipo spese di Fr. 400.- versato dalla ricorrente le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1'200.-,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