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C-8135/2010 vom 10. Januar 2013</w:t>
      </w:r>
    </w:p>
    <w:p>
      <w:r>
        <w:t>Bundesverwaltungsgericht, 2013-01-10, DE</w:t>
      </w:r>
    </w:p>
    <w:p>
      <w:r>
        <w:rPr>
          <w:b/>
        </w:rPr>
        <w:t xml:space="preserve">Quelle: </w:t>
      </w:r>
      <w:r>
        <w:t>https://mcp.opencaselaw.ch/entscheid/bvger_C-8135_2010</w:t>
      </w:r>
    </w:p>
    <w:p>
      <w:r>
        <w:t>FR: TAF C-8135/2010 du 10 janvier 2013</w:t>
      </w:r>
    </w:p>
    <w:p>
      <w:r>
        <w:t>IT: TAF C-8135/2010 del 10 gennaio 2013</w:t>
      </w:r>
    </w:p>
    <w:p>
      <w:pPr>
        <w:pStyle w:val="Heading2"/>
      </w:pPr>
      <w:r>
        <w:t>Regeste</w:t>
      </w:r>
    </w:p>
    <w:p>
      <w:r>
        <w:t>Krankheits- und Unfallbekämpfung</w:t>
      </w:r>
    </w:p>
    <w:p>
      <w:pPr>
        <w:pStyle w:val="Heading2"/>
      </w:pPr>
      <w:r>
        <w:t>Erwägungen</w:t>
      </w:r>
    </w:p>
    <w:p>
      <w:r>
        <w:rPr>
          <w:b/>
        </w:rPr>
        <w:t>E. 1.1</w:t>
      </w:r>
    </w:p>
    <w:p>
      <w:r>
        <w:t>Angefochten sind sowohl die Verfügung der SUVA vom 22. Oktober 2010, mit welcher die Beschwerdeführerin verpflichtet wurde, die Grabenarbeiten einzustellen, bis eine Grabenspriessung die den Regeln der Technik und den Anforderungen des Art. 55 Abs. 2 BauAV entsprechen, eingesetzt worden sei, wie auch die Ermahnung der SUVA vom 3. November 2010, welche mit der Verfügung vom 22. Oktober 2010 in einem engen sachlichen Zusammenhang steht (vgl. Beschwerdeschrift, act 1, S. 2 - 3 Bst. B Ziff. 2 und 3).</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Verfügungen der SUVA über Anordnungen zur Verhütung von Unfällen, die nicht durch Einsprache anfechtbar sind, ergibt sich aus Art. 109 Bst. c in Verbindung mit Art. 105a des Bundesgesetzes vom 20. März 1981 über die Unfallversicherung (UVG, SR 832.20).</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Mit Verwaltungsgerichtsbeschwerde anfechtbar sind Verfügungen im Sinne von Art. 5 VwVG (Art. 44 VwVG, vgl. auch Art. 56 Abs. 1 ATSG).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gekennzeichnet ist oder den gesetzlichen Formvorschriften für eine Verfügung entspricht. Massgebend ist vielmehr, ob die Strukturmerkmale einer Verfügung vorhanden sind (Urteil BVGer A-8518/2007 vom 18. September 2008 E. 4.4 mit Hinweisen).</w:t>
      </w:r>
    </w:p>
    <w:p>
      <w:r>
        <w:rPr>
          <w:b/>
        </w:rPr>
        <w:t>E. 1.5</w:t>
      </w:r>
    </w:p>
    <w:p>
      <w:r>
        <w:t>Nach der Rechtsprechung ist eine behördliche Mahnung einer Verfügung im Sinne von Art. 5 VwVG gleichzustellen, wenn diese die Rechtsstellung der Betroffenen verschlechtert (BGE 103 Ib 350 E. 2, vgl. auch BGE 125 I 119 E. 2a).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 BGer 5P.199/2003 vom 12. August 2003 E. 1.1), sofern sich die aktuelle Rechtsstellung der betroffenen Person allein dadurch verschlechtert (vgl. Pierre Tschannen/Ulrich Zimmerli/Markus Müller, Allgemeines Verwaltungsrecht, 3. Aufl., Bern 2009, § 28 N. 27; Urteil BGer 1P.555/2001 vom 3. Januar 2002 E. 4.2 ff.). Im Falle einer Belehrung, eines Verweises, einer Mahnung oder dergleichen gilt es zu prüfen, ob diesem Akt Sanktionscharakter zukommt; dies trifft dann zu, wenn er den Vorwurf rechtswidrigen Verhaltens in sich schliesst, dem Betreffenden nahe legt, dieses in Zukunft zu unterlassen, und objektiv eine Massregelung darstellt. Von Bedeutung ist sodann, inwiefern sich die früher verhängte Massnahme bei der Beurteilung in einem allfällig später eingeleiteten Disziplinarverfahren auswirken würde (Urteil BGer 5P.199/2003 vom 12. August 2003 E. 1.1 mit Hinweisen).</w:t>
      </w:r>
    </w:p>
    <w:p>
      <w:r>
        <w:rPr>
          <w:b/>
        </w:rPr>
        <w:t>E. 1.6</w:t>
      </w:r>
    </w:p>
    <w:p>
      <w:r>
        <w:t>Es ist zu prüfen, ob der Ermahnung vom 3. November 2010 Verfügungscharakter zukommt. Nach Art. 62 Abs. 1 der Verordnung vom 19. Dezember 1983 über die Verhütung von Unfällen und Berufskrankheiten (Verordnung über die Unfallverhütung, VUV, SR 832.30) macht das für die Kontrolle zuständige Durchführungsorgan, wenn sich aufgrund eines Betriebsbesuches herausstellt, dass Vorschriften über die Arbeitssicherheit verletzt sind, den Arbeitgeber darauf aufmerksam und setzt ihm eine angemessene Frist zur Einhaltung der Vorschrift. Diese Ermahnung ist dem Arbeitgeber schriftlich zu bestätigen.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in Verbindung mit Art. 92 Abs. 3 UVG in eine höhere Stufe des Prämientarifs versetzt werden (Prämienerhöhung). Ermahnungen des Kontrollorgans sind in der Regel notwendige Voraussetzung für eine spätere Sanktionierung in Form einer Prämienerhöhung nach Art. 92 Abs. 3 UVG in Verbindung mit Art. 66 Abs. 1 VUV und verschlechtern die aktuelle Rechtsstellung eines betroffenen Betriebs. Diesen Ermahnungen kommt demnach Sanktionscharakter im Sinne der oben erwähnten Rechtsprechung zu und diese können - wie vorliegend die angefochtene Ermahnung der SUVA - beim Bundesverwaltungsgericht grundsätzlich angefochten werden (BVGE 2010/37 E. 2.4.3 mit Hinweisen).</w:t>
      </w:r>
    </w:p>
    <w:p>
      <w:r>
        <w:rPr>
          <w:b/>
        </w:rPr>
        <w:t>E. 1.7</w:t>
      </w:r>
    </w:p>
    <w:p>
      <w:r>
        <w:t>Nach Art. 59 ATSG ist zur Beschwerde berechtigt, wer durch die angefochtene Verfügung berührt ist und ein schutzwürdiges Interesse an deren Aufhebung oder Änderung hat (vgl. auch Art. 48 Abs. 1 Bst. c VwVG). Als Verfügungsadressatin ist die Beschwerdeführerin beschwerdelegitimiert und hat ein schutzwürdiges Interesse.</w:t>
      </w:r>
    </w:p>
    <w:p>
      <w:r>
        <w:rPr>
          <w:b/>
        </w:rPr>
        <w:t>E. 1.8</w:t>
      </w:r>
    </w:p>
    <w:p>
      <w:r>
        <w:t>Da die übrigen Eintretensvoraussetzungen (vgl. Art. 60 in Verbindung mit Art. 38 ff. ATSG, Art. 49 ff. VwVG) zweifellos erfüllt sind und auch der Kostenvorschuss fristgerecht geleistet wurde, ist auf die Beschwerde einzutreten.</w:t>
      </w:r>
    </w:p>
    <w:p>
      <w:r>
        <w:rPr>
          <w:b/>
        </w:rPr>
        <w:t>E. 2</w:t>
      </w:r>
    </w:p>
    <w:p>
      <w:r>
        <w:t>In materieller Hinsicht streitig und im Folgenden zu prüfen ist insbesondere, ob die Beschwerdeführerin Arbeitssicherheitsvorschriften verletzt hat.</w:t>
      </w:r>
    </w:p>
    <w:p>
      <w:r>
        <w:rPr>
          <w:b/>
        </w:rPr>
        <w:t>E. 2.1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w:t>
      </w:r>
    </w:p>
    <w:p>
      <w:r>
        <w:rPr>
          <w:b/>
        </w:rPr>
        <w:t>E. 2.2</w:t>
      </w:r>
    </w:p>
    <w:p>
      <w:r>
        <w:t>Nach unbestrittener Feststellung der SUVA hat die Beschwerdeführerin Grabenarbeiten ohne Grabenspriessung vorgenommen. Umstritten ist ob damit ein sicherheitswidriger Zustand vorlag und eine solche Grabenspriessung daher notwendig war.</w:t>
      </w:r>
    </w:p>
    <w:p>
      <w:r>
        <w:rPr>
          <w:b/>
        </w:rPr>
        <w:t>E. 2.3</w:t>
      </w:r>
    </w:p>
    <w:p>
      <w:r>
        <w:t>Gemäss Art. 55 Abs. 2 der Verordnung vom 29. Juni 2005 über die Sicherheit und den Gesundheitsschutz der Arbeitnehmerinnen und Arbeitnehmer bei Bauarbeiten (BauAV; SR 832.311.141) sind Gräben, Schächte und Baugruben von mehr als 1.5 m Tiefe, die nicht verspriesst werden, gemäss Art. 56 abzuböschen oder durch andere geeignete Massnahmen zu sichern. Nach Art. 56 BauAV sind Böschungsneigungen der Standfestigkeit des Baugrundes anzupassen (Abs. 1). In Sprengfels sowie in homogenem Fels, der mit mechanischen Geräten abbaubar ist (z.B. Sandstein oder Mergel), können die Wände senkrecht ausgebildet werden (Abs. 3). Unbestritten ist weiter die Feststellung der SUVA, dass die oberste Gesteinsschicht aus rolligem Material bestand, was im Übrigen auch aus der aktenkundigen Fotodokumentation (act. SUVA 17 Foto 6 und 8) gut ersichtlich ist. Bei rolligem Material muss nach Art. 56 Abs. 4 Bst. a Ziff. 3 BauV ein Sicherheitsnachweis erbracht werden, wenn die Verhältnisse zwischen Senkrechte und Waagrechte von höchstens 1:1 nicht eingehalten werden können. Die Fotodokumentation der SUVA anlässlich der Baustelleninspektion vom 22. Oktober 2010, worauf sie sich beim Erlass der angefochtenen Verfügung stützte (vgl. act. SUVA Foto 1, 4, 5, 7), zeigt auf, dass das Verhältnis von 1:1 nicht eingehalten wurde, womit ein Sicherheitsnachweis im Vorfeld hätte erbracht werden müssen.</w:t>
      </w:r>
    </w:p>
    <w:p>
      <w:r>
        <w:rPr>
          <w:b/>
        </w:rPr>
        <w:t>E. 2.4</w:t>
      </w:r>
    </w:p>
    <w:p>
      <w:r>
        <w:t>Die Beschwerdeführerin machte geltend, dass aufgrund der geologischen Zusammensetzung des Untergrundes die Sicherheit und Gesundheit der Arbeitnehmenden auch ohne Grabensicherung nicht gefährdet und ein Verspriessen des Grabens daher nicht erforderlich gewesen sei. Sie stützt sich dabei auf ein von ihr am 26. Oktober 2010 - und somit nach dem Verfügungszeitpunkt - veranlasstes geologisches Gutachten von der Dr. H._______ AG, Geologie, in D._______, vom 10. November 2010 (vgl. act. 1/6). Daraus geht hervor, dass der Gutachter die Verhältnisse auf der Baustelle am 26. Oktober 2010 untersuchte. Hinsichtlich des Sicherheitsnachweises nach Art. 56 Abs. 4 BauV gelangte der Gutachter zum Schluss, dass nach seinen Stabilitätsberechnungen die Grabenböschungen einen sehr hohen, hinreichenden Sicherheitsfaktor aufwiesen (vgl. Gutachten S. 3 in fine). Nach seiner Risikobeurteilung könne der Graben bei gleichen geologischen Verhältnissen wie im beurteilten offenen Abschnitt unter Einhaltung der gesetzlichen Vorgaben wie geplant ohne Spriessung ausgeführt werden. Ein Risiko bestehe im ungesicherten Graben hinsichtlich der "Steinschlaggefahr", d.h. wenn sich infolge der nicht vollständig auszuschliessenden Klüftung des Sandsteins einzelne Gesteinsbrocken lösen und in den Graben fallen würden. Diese Gefahr beschränke sich auf eine Grabentiefe von 1.3 - 3.8m u.T. Zur Ausschaltung dieses Gefahrenpotentials könnten Spriesselemente in den Graben gestellt werden. Diese hätten keine Stützwirkung und müssten lediglich unverhofft herunterfallende Gesteinsbrocken zurückhalten können (vgl. Gutachten Ziff. 4, S. 4).</w:t>
      </w:r>
    </w:p>
    <w:p>
      <w:r>
        <w:rPr>
          <w:b/>
        </w:rPr>
        <w:t>E. 2.5</w:t>
      </w:r>
    </w:p>
    <w:p>
      <w:r>
        <w:t>Die Vorinstanz brachte zu Recht vor, dass die Terrainverhältnisse anlässlich ihrer Inspektion am 22. Oktober 2010 nicht dieselben waren wie anlässlich der Begutachtung am 26. Oktober 2010. Dies ergibt sich aus der Fotodokumentation in beiden Zeitpunkten. So ist ersichtlich, dass die fragliche Böschung im Inspektionszeitpunkt (vgl. Fotos SUVA, act. SUVA 17, Foto 1 und 4) deutlich steiler war als im Gutachtenszeitpunkt (vgl. Fotos Gutachten H._______, act. 1/6 Beilage 1 Foto 1). Somit muss - entgegen der Beschwerdeführerin - in diesem Zeitraum eine Terrainveränderung stattgefunden haben. Der vom Gutachter attestierte Sicherheitsnachweis entsprach somit jedenfalls nicht dem Baustellenzustand im Verfügungszeitpunkt (22. Oktober 2010). Da der Gutachter sich bei seiner Beurteilung ausdrücklich und einzig auf den Zustand im Begutachtungszeitpunkt beruft, lässt sich daraus hinsichtlich der Verhältnisse vor diesem Zeitpunkt, namentlich im Verfügungszeitpunkt, nichts zugunsten der Beschwerdeführerin ableiten. Demgegenüber stützt sich die Beschwerdeführerin zur Beurteilung der Sicherheit einzig auf ihre langjährigen Erfahrung, legte indes keinen Sicherheitsnachweis zur fraglichen Grabenböschung vor. Somit muss im fraglichen Zeitpunkt davon ausgegangen werden, dass auf der Baustelle ein sicherheitswidriger Zustand vorlag, welchen die Vorinstanz zu Recht beanstandet hatte. Nicht gefolgt werden kann schliesslich der Beschwerdeführerin insoweit sie geltend macht, es sei Sache des Durchführungsorgans Regelverstösse durch eine Expertise nachzuweisen, was die Vorinstanz unterlassen habe. Die Zuständigkeit für die Gewährleistung der Arbeitssicherheit liegt gemäss Art. 82 Abs. 1 UVG beim Arbeitgeber. Diesem obliegt denn auch den gemäss Art. 56 Abs. 4 BauV verlangten Sicherheitsnachweis zu erbringen.</w:t>
      </w:r>
    </w:p>
    <w:p>
      <w:r>
        <w:rPr>
          <w:b/>
        </w:rPr>
        <w:t>E. 3.1</w:t>
      </w:r>
    </w:p>
    <w:p>
      <w:r>
        <w:t>In der Ermahnung vom 3. November 2010 bemängelte die SUVA, dass anwesende Mitarbeiter keinen Schutzhelm getragen hätten, was vorliegend nicht bestritten wird und auch aus der Fotodokumentation der Vorinstanz (Foto 1 und Foto 2) deutlich ersichtlich ist.</w:t>
      </w:r>
    </w:p>
    <w:p>
      <w:r>
        <w:rPr>
          <w:b/>
        </w:rPr>
        <w:t>E. 3.2</w:t>
      </w:r>
    </w:p>
    <w:p>
      <w:r>
        <w:t>Gemäss Art. 5 Abs. 1 BauAV müssen die Arbeitnehmerinnen und Arbeitnehmer bei allen Arbeiten, bei denen sie durch herunterfallende Gegenstände oder Materialien gefährdet werden können, einen Schutzhelm tragen. Abs. 2 bestimmt zudem, bei welchen Tätigkeiten in jedem Fall ein Schutzhelm getragen werden muss. Dies gilt insbesondere bei Grabenarbeiten (Bst. a). Die Helmtragpflicht wurde vorliegend verletzt. Der Einwand der Beschwerdeführerin, dass das Versäumnis der Arbeitnehmenden betreffend die Helmtragpflicht nicht dem Arbeitgeber angelastet werden könne, geht fehl. Gemäss Art. 4 Abs. 1 BauAV muss der Arbeitgebende auf jeder Baustelle eine Person bezeichnen, die für die Arbeitssicherheit und den Gesundheitsschutz zuständig ist; diese Person kann den Arbeitnehmenden diesbezügliche Weisungen erteilen. Gemäss Art. 4 Abs. 2 BauAV ist von der Baustelle wegzuweisen, wer durch sein Verhalten oder seinen Zustand sich selbst oder andere gefährdet. Die Beschwerdeführerin macht geltend, sie habe ihre Arbeitnehmer ausdrücklich zum Tragen der Schutzhelme angehalten und die Einhaltung dieser Vorschrift kontrolliert. Es könne ihr nicht angelastet werden, wenn einzelne Arbeitnehmer trotz Ermahnungen, regelmässigen Kontrollen und Schulungen auf das Tragen des Schutzhelmes verzichten würden. Sofern Schutzhelme nicht getragen würden, sei dies das Versäumnis einzelner Arbeitnehmenden und könne ihr nicht als Systemmangel angelastet werden" (act. 15 Ziff. 38). Dies sowie die Übertragung von Aufgaben der Arbeitssicherheit entbindet den Arbeitgeber aber nicht von seiner Verantwortung für die Einhaltung der Arbeitssicherheit (vgl. Art. 82 Abs. 1 UVG, Art. 7 Abs. 2 VUV; unveröffentlichtes Urteil der Rekurskommission UV REKU 585/04 vom 14. November 2005 E. 7). Widersetzt sich ein Arbeitnehmender beharrlich dem Helmobligatorium, kann dies als besonders schwere Verfehlung qualifiziert werden, die eine Auflösung des Arbeitsverhältnisses rechtfertigt (Urteil des Bundesgerichts 4C.161/2000 vom 28. Juli 2000 E. 2). Die Vorinstanz bemängelte in der Ermahnung vom 3. November 2010 damit die Verletzung der Helmtragpflicht zu Recht.</w:t>
      </w:r>
    </w:p>
    <w:p>
      <w:r>
        <w:rPr>
          <w:b/>
        </w:rPr>
        <w:t>E. 4</w:t>
      </w:r>
    </w:p>
    <w:p>
      <w:r>
        <w:t>Schliesslich hielt die Vorinstanz in ihrer Ermahnung vom 3. November 2010 als weiterer Mangel fest, es seien bei der Baustellenbesichtigung vom 22. Oktober 2012 keine Arbeitsmittel für das Überwinden von Niveauunterschieden von mehr als einem Meter verwendet worden.</w:t>
      </w:r>
    </w:p>
    <w:p>
      <w:r>
        <w:rPr>
          <w:b/>
        </w:rPr>
        <w:t>E. 4.1</w:t>
      </w:r>
    </w:p>
    <w:p>
      <w:r>
        <w:t>Die Beschwerdeführerin brachte vor (act. 1 Ziff. 19), der Kontrolleur der Vorinstanz habe übersehen, dass neben dem Graben Leitern gelegen seien, die den Arbeitnehmenden ein sicheres Überwinden von Niveauunterschieden von mehr als einem Meter und das Hinabsteigen in den Graben ermöglichen würden, was indes aktenkundig nicht belegt wird. Demgegenüber lässt sich der Fotodokumentation der SUVA (act. SUVA 17 Foto 1) entnehmen, dass ein Arbeiter im Graben arbeitete und sich keine Leiter in Reichweite dieses Arbeiters befand.</w:t>
      </w:r>
    </w:p>
    <w:p>
      <w:r>
        <w:rPr>
          <w:b/>
        </w:rPr>
        <w:t>E. 4.2</w:t>
      </w:r>
    </w:p>
    <w:p>
      <w:r>
        <w:t>Auch dieses Verhalten der Arbeitnehmenden ist der Beschwerdeführerin anzulasten, womit sie gegen Art. 8 Abs. 2 Bst. h BauAV verstossen hatte und von der Vorinstanz ebenfalls zu Recht gemahnt wurde.</w:t>
      </w:r>
    </w:p>
    <w:p>
      <w:r>
        <w:rPr>
          <w:b/>
        </w:rPr>
        <w:t>E. 5</w:t>
      </w:r>
    </w:p>
    <w:p>
      <w:r>
        <w:t>Nach dem Gesagten ist die Beschwerde im Haupt- und Eventualbegehren vollumfänglich abzuweisen.</w:t>
      </w:r>
    </w:p>
    <w:p>
      <w:r>
        <w:rPr>
          <w:b/>
        </w:rPr>
        <w:t>E. 6</w:t>
      </w:r>
    </w:p>
    <w:p>
      <w:r>
        <w:t>Zu befinden bleibt noch über die Verfahrenskosten sowie eine allfällige Parteientschädigung.</w:t>
      </w:r>
    </w:p>
    <w:p>
      <w:r>
        <w:rPr>
          <w:b/>
        </w:rPr>
        <w:t>E. 6.1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1000.-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6.2</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