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C-8135/2007 vom 30. Oktober 2009</w:t>
      </w:r>
    </w:p>
    <w:p>
      <w:r>
        <w:t>Bundesverwaltungsgericht, 2009-10-30, IT</w:t>
      </w:r>
    </w:p>
    <w:p>
      <w:r>
        <w:rPr>
          <w:b/>
        </w:rPr>
        <w:t xml:space="preserve">Quelle: </w:t>
      </w:r>
      <w:r>
        <w:t>https://mcp.opencaselaw.ch/entscheid/bvger_C-8135_2007</w:t>
      </w:r>
    </w:p>
    <w:p>
      <w:r>
        <w:t>FR: TAF C-8135/2007 du 30 octobre 2009</w:t>
      </w:r>
    </w:p>
    <w:p>
      <w:r>
        <w:t>IT: TAF C-8135/2007 del 30 ottobre 2009</w:t>
      </w:r>
    </w:p>
    <w:p>
      <w:pPr>
        <w:pStyle w:val="Heading2"/>
      </w:pPr>
      <w:r>
        <w:t>Regeste</w:t>
      </w:r>
    </w:p>
    <w:p>
      <w:r>
        <w:t>Valutazione dell'invalidità</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nel rispetto dei requisiti previsti dalla legge (art. 59 e 60 LPGA, nonché l'art. 52 cpv. 1 PA), e visto che pure l'anticipo equivalente alle presunte spese processuali di Fr. 300.- è stato versato nei termini.</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e della LPGA, in vigore dal 1° gennaio 2008, non sono pertanto applicabili nel caso concreto e di seguito è fatto riferimento alle disposizioni in vigore fino al 31 dicembre 2007.</w:t>
      </w:r>
    </w:p>
    <w:p>
      <w:r>
        <w:rPr>
          <w:b/>
        </w:rPr>
        <w:t>E. 4.1</w:t>
      </w:r>
    </w:p>
    <w:p>
      <w:r>
        <w:t>Ai sensi dell'art.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della Comunità europea e vi risiede.</w:t>
      </w:r>
    </w:p>
    <w:p>
      <w:r>
        <w:rPr>
          <w:b/>
        </w:rPr>
        <w:t>E. 4.3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4.5</w:t>
      </w:r>
    </w:p>
    <w:p>
      <w:r>
        <w:t>Giova ancora ricordare che,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5</w:t>
      </w:r>
    </w:p>
    <w:p>
      <w:r>
        <w:t>Il ricorrente contesta la fondatezza della decisione del 2 novembre 2007, con la quale l'UAIE ha sostituito la rendita intera d'invalidità con un quarto di rendita, e ciò a decorrere dal 1° gennaio 2008.</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dell'Ordinanza federale sull'assicurazione invalidità del 17 gennaio 1961 (OAI, RS 831.201),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 Se la capacità al guadagno dell'assicurato migliora,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(art. 88a cpv. 1 OAI). 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 La riduzione o la soppressione della rendita è messa in atto, il più presto, il primo giorno del secondo mese che segue la notifica della decisione (art. 88bis cpv. 2 lett. a OAI).</w:t>
      </w:r>
    </w:p>
    <w:p>
      <w:r>
        <w:rPr>
          <w:b/>
        </w:rPr>
        <w:t>E. 6.3</w:t>
      </w:r>
    </w:p>
    <w:p>
      <w:r>
        <w:t>In concreto, la decisione iniziale è stata pronunciata il 26 luglio 2002 (doc. 56). Ne consegue che il periodo di riferimento per giudicare se verosimilmente è intervenuta una modifica rilevante del grado d'invalidità, tale da giustificare una riduzione della rendita, è quello tra il 26 luglio 2002 e il 2 novembre 2007, data della decisione impugnata (doc. 113). A questo proposito, giova rilevare che il giudice delle assicurazioni sociali analizza la legalità della decisione impugnata, in generale, secondo lo stato di fatto esistente al momento in cui essa è stata resa (DTF 130 V 445 consid. 1.2 e 1.2.1).</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w:t>
      </w:r>
    </w:p>
    <w:p>
      <w:r>
        <w:t>In concreto, al ricorrente è stato riconosciuto, con decisione del 26 luglio 2002, il diritto ad una rendita intera d'invalidità dal 1° dicembre 1997, in seguito all'insorgenza di un'ernia discale con sindrome dolorosa cronica lomboradicolare e disturbi psichici, ciò che gli ha impedito di continuare a svolgere il suo ultimo lavoro di operaio nell'industria alimentare. Occorre pertanto verificare se, nel periodo in esame, ossia dal 26 luglio 2002 al 2 novembre 2007, l'incidenza delle affezioni di cui soffre il ricorrente sulla sua capacità lavorativa è diminuita in modo tale da giustificare la sostituzione della rendita intera d'invalidità con un quarto di rendita dal 1° gennaio 2008, come stabilito dall'UAIE (art. 88bis cpv. 2 lett. a OAI).</w:t>
      </w:r>
    </w:p>
    <w:p>
      <w:r>
        <w:rPr>
          <w:b/>
        </w:rPr>
        <w:t>E. 9</w:t>
      </w:r>
    </w:p>
    <w:p>
      <w:r>
        <w:t>Dalla documentazione agli atti, e in particolare dalla perizia psichiatrico-reumatologica del dott.ri Sa e Ro._______, del 25 ottobre 2006 (doc. 106), si evince che il ricorrente soffre, essenzialmente, di una sindrome lombovertebrale cronica con esiti di erniotomia, nonché di una sindrome dolorosa somatoforme. Questa diagnosi è condivisa da tutti gli specialisti, sia dai medici dell'UAIE e dai periti esterni, sia dai medici che hanno visitato il ricorrente in Italia, per cui il collegio giudicante non intravede nessun motivo per discostarsene.</w:t>
      </w:r>
    </w:p>
    <w:p>
      <w:r>
        <w:rPr>
          <w:b/>
        </w:rPr>
        <w:t>E. 10</w:t>
      </w:r>
    </w:p>
    <w:p>
      <w:r>
        <w:t>Dal punto di vista ortopedico, i dott.ri Sa e Ro._______ hanno constatato delle lombalgie irradianti alle membra inferiori e predominanti a sinistra, con discrete sequele neurologiche sensitive e motrici delle radici L5 e S1 sinistre, senza nuovi elementi rilevanti rispetto alle precedenti costatazioni. I due periti hanno inoltre precisato che sono controindicati i lavori che sollecitano il dorso, implicando il trasporto di pesi oppure l'assunzione di posizioni sbilanciate o flesse. Essi hanno per contro rilevato che, in attività leggere di movimentazione, sorveglianza, vendita o in contatto con la clientela, la capacità di lavoro del ricorrente è pari ad almeno il 60%, con un orario a tempo pieno e la possibilità di alternare le posizioni eretta e seduta.</w:t>
      </w:r>
    </w:p>
    <w:p>
      <w:r>
        <w:rPr>
          <w:b/>
        </w:rPr>
        <w:t>E. 11.1</w:t>
      </w:r>
    </w:p>
    <w:p>
      <w:r>
        <w:t>Dal punto di vista psichiatrico, i dott.ri Sa e Ro._______ hanno ritenuto la diagnosi di disturbi somatoformi dolorosi. Secondo l'"International Classification of Diseases and Related Health Problems" (ICD-10), edita dall'Organizzazione mondiale della sanità, i disturbi somatoformi dolorosi ("persistent somatoform pain disorder") sono dei dolori persistenti e severi, accompagnati da un sentimento di profondo scoraggiamento, che non si spiegano interamente sulla base di un processo fisiologico o di disturbi fisici, e che si palesano in associazione con un conflitto d'origine emozionale o problematiche psicosociali, i quali risultano essere la causa principale dei dolori (ICD-10: F45.4).</w:t>
      </w:r>
    </w:p>
    <w:p>
      <w:r>
        <w:rPr>
          <w:b/>
        </w:rPr>
        <w:t>E. 11.2</w:t>
      </w:r>
    </w:p>
    <w:p>
      <w:r>
        <w:t>Conformemente alla giurisprudenza del Tribunale federale, la diagnosi di disturbi somatoformi dolorosi non è sufficiente, di per sé, a fondare il riconoscimento di una limitazione invalidante della capacità lavorativa. Infatti, di regola, i disturbi somatoformi dolorosi non presentano carattere invalidante. Una deroga a questo principio è ammissibile solo quando si è in presenza di una comorbidità psichiatrica di notevole gravità, intensità e durata, oppure quando sono dati (1) l'esistenza di concomitanti affezioni organiche croniche, accompagnate da un decorso patologico pluriennale, con sintomi stabili o in evoluzione senza remissione duratura, (2) la perdita d'integrazione sociale in tutti gli ambiti di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dall'interessato (DTF 130 V 352, con la giurisprudenza e la dottrina citate).</w:t>
      </w:r>
    </w:p>
    <w:p>
      <w:r>
        <w:rPr>
          <w:b/>
        </w:rPr>
        <w:t>E. 11.3</w:t>
      </w:r>
    </w:p>
    <w:p>
      <w:r>
        <w:t>Nella perizia pluridisciplinare del Prof. M._______ e della dott.ssa F._______, del 13 maggio 2002 (doc. 52), è stata considerata come parte integrante della diagnosi anche una "Sensitive psychogene Entwicklung mit abnormen Krankheitsverhalten", con un'incidenza tale sulla capacità lavorativa del ricorrente da ridurla del 50%. Quasi tre anni dopo questa valutazione peritale, il dott. C._______ ha ritenuto, nel suo referto psichiatrico del 29 giugno 2005 (doc. 71), unicamente delle lievi note depressive reattive in soggetto con verosimile temperamento ciclotimico, senza che siano attualmente evidenziabili dei disturbi psichici e rilevando più precisamente che da qualche mese si è evidenziato un miglioramento. Dal canto loro, i dott.ri Sa e Ro._______ hanno sottolineato che il ricorrente non presenta né disturbi neuropsicologici, né un disturbo netto dell'umore dal punto di vista depressivo o ansioso, e nemmeno altre affezioni psicopatologiche importanti. A questo proposito, i due periti hanno evidenziato che i disturbi del carattere del ricorrente sono costitutivi della sua personalità e che essi non gli hanno impedito di avere una vita attiva normale nel passato, né una vita familiare presentemente, per cui non è data alcuna comorbidità psichiatrica importante associata al disturbo somatoforme doloroso. I due periti hanno inoltre asserito che, a loro modo di vedere e sulla base dell'intero incarto a loro disposizione, non si è mai stati in presenza di una vera incapacità lavorativa per motivi psichici, concludendo che, su questo piano, la capacità lavorativa del ricorrente è completa. Per quanto concerne i medici dell'UAIE, il dott. R._______ e il dott. L._______ hanno a più riprese sottolineato (doc. 76, 78, 108, 117 e 119), sulla base della valutazione psichiatrica del dott. C._______ e della perizia dei dott.ri Sa e Ro._______, che si può affermare che i disturbi psichici del ricorrente hanno subito un miglioramento tale, rispetto a quanto ritenuto nella perizia del Prof. M._______ e della dott.ssa F._______, da non più costituire una componente della diagnosi con incidenza sulla capacità lavorativa. Il dott. L._______ ha inoltre chiaramente rilevato che il certificato psichiatrico del dott. Ap._______, del 15 marzo 2008, si limita ad evocare la presenza di una depressione maggiore, senza descriverne le caratteristiche e l'eventuale incidenza sulla capacità lavorativa del ricorrente, per cui esso non è atto a confutare le conclusioni peritali dei dott.ri Sa e Ro._______.</w:t>
      </w:r>
    </w:p>
    <w:p>
      <w:r>
        <w:rPr>
          <w:b/>
        </w:rPr>
        <w:t>E. 12</w:t>
      </w:r>
    </w:p>
    <w:p>
      <w:r>
        <w:t>Visto quanto precede, il collegio giudicante considera che il ricorrente non è più affetto da disturbi psichici o che, comunque, essi non influiscono più sulla sua capacità lavorativa. Il collegio giudicante può perciò aderire su questo punto alle conclusioni peritali dei dott.ri Sa e Ro._______, riprese dai medici dell'UAIE. Dal punto di vista somatico, il Tribunale osserva per contro che, nell'ambito della domanda di prestazioni, i documenti rilevanti, ossia il rapporto della "..." e la perizia del Prof. M._______ e della dott.ssa F._______, concludevano per un'incapacità di lavoro del 50%. Benché i periti del CEMed abbiano valutato la capacità lavorativa al 60%, essi hanno considerato che lo stato di salute del ricorrente, dal punto di vista somatico, non si è modificato (pag. 22 della perizia), per cui appare giustificato ritenere un tasso d'incapacità lavorativa del 50%, piuttosto che del 40%. In effetti, dal profilo della revisione è irrilevante una diversa valutazione di una fattispecie rimasta sostanzialmente immutata (DTF 112 V 371 consid. 2b). Non è altresì dato sapere in cosa consisterebbe il miglioramento dal profilo somatico a cui fa riferimento il medico dell'UAIE, nella sua presa di posizione del 14 novembre 2006 [e gli esperti a pag. 26 della perizia del 25 ottobre 2006], rispetto a quella ritenuta nella perizia del 13 maggio 2002, fermo restando che in detta perizia l'incapacità lavorativa dal profilo somatico era stata cifrata al 50%, indipendentemente dall'affezione psichiatrica, la quale era stata a sua volta quantificata nel 50%, con un risultato cumulato del 70% (doc. 52 pag. 16). Non è dunque corretta l'affermazione del medico dell'UAIE, secondo cui l'incapacità lavorativa per motivi fisici fosse stata giudicata del 50% nel 2002 perché vi erano anche problemi psichici e che, senza quest'ultimi, l'incapacità per le affezioni di tipo somatico sarebbe stata quantificata nel 40%. Il ricorrente deve quindi essere considerato abile al lavoro nella misura di almeno il 50% in attività confacenti, e ciò a decorrere come minimo da ottobre 2006.</w:t>
      </w:r>
    </w:p>
    <w:p>
      <w:r>
        <w:rPr>
          <w:b/>
        </w:rPr>
        <w:t>E. 13</w:t>
      </w:r>
    </w:p>
    <w:p>
      <w:r>
        <w:t>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Per quanto attiene al calcolo del grado d'invalidità, l'UAIE ha proceduto in applicazione del metodo del raffronto dei redditi. Come reddito ipotetico da valido per il 2004, ha ritenuto un valore di Fr. 4'585.56 al mese, sulla base dei dati dell'UFS, e, come reddito da invalido, sempre secondo i dati dell'UFS, in attività leggere, ha considerato un valore medio di Fr. 4'445.91 al mese, ridotto eccezionalmente del 5% e considerato nella misura del 60% (capacità lavorativa residua), ossia Fr. 2'534.17. Procedendo al raffronto dei due redditi, l'UAIE ha così ottenuto una perdita di guadagno del 44.75%, corrispondente ad un grado d'invalidità del 45% (doc. 79). Ciò detto, l'anno determinante per il calcolo del grado d'invalidità non è tuttavia il 2004, ma il 2006, ossia l'anno che segna il miglioramento rilevante della capacità lavorativa del ricorrente in attività confacenti. Ora, il ricorrente, riprendendo i salari ritenuti dall'UAIE per il 2004, avrebbe potuto realizzare nel 2006 un salario da valido di Fr. 4'687.-, considerando un'inflazione dell'1.1% nel 2005 e nel 2006 (tabella B10, La Vie économique, 12-2008), ed un salario da invalido, dopo riduzione del 5% e considerato nella misura del 50%, di Fr. 2'159.-. Così, comparando il reddito da valido con quello da invalido, secondo la formula [(4'687 - 2'159) : 4'687 x 100], si ottiene una perdita di guadagno approssimativa del 53.93%, corrispondente ad un grado d'invalidità del 54%, il quale dà diritto ad una mezza rendita d'invalidità.</w:t>
      </w:r>
    </w:p>
    <w:p>
      <w:r>
        <w:rPr>
          <w:b/>
        </w:rPr>
        <w:t>E. 14</w:t>
      </w:r>
    </w:p>
    <w:p>
      <w:r>
        <w:t>In conclusione, considerato che il grado d'invalidità del ricorrente è inferiore al 60% (art. 28 cpv. 1 LAI), che il miglioramento della sua capacità di guadagno deve essere fatto risalire almeno a partire da ottobre 2006, che esso è durato più di tre mesi e che presumibilmente continuerà a perdurare (art. 88a cpv. 1 OAI), la rendita intera d'invalidità deve essere sostituita con una mezza rendita a decorrere dal 1° gennaio 2008 (art. 88biscpv. 2 lett. a OAI). Di conseguenza, il ricorso deve essere accolto e la decisione dell'UAIE del 28 settembre 2007 deve essere riformata nel senso che al ricorrente è riconosciuto il diritto ad una mezza rendita d'invalidità dal 1° gennaio 2008. L'incarto è trasmesso all'UAIE affinché calcoli le prestazioni spettanti al ricorrente e versi i relativi arretrati.</w:t>
      </w:r>
    </w:p>
    <w:p>
      <w:r>
        <w:rPr>
          <w:b/>
        </w:rPr>
        <w:t>E. 15</w:t>
      </w:r>
    </w:p>
    <w:p>
      <w:r>
        <w:t>Secondo l'art. 63 cpv. 1 PA, le spese processuali sono di regola messe a carico della parte soccombente. In concreto, visto l'esito della procedura, l'anticipo delle spese processuali versato dal ricorrente il 4 settembre 2008 gli è restituito. In conformità con l'art. 64 cpv. 1 PA, l'autorità di ricorso, se ammette il ricorso in tutto o in parte, può assegnare al ricorrente una indennità per le spese indispensabili e relativamente elevate che ha sopportato (spese ripetibili). Visto l'esito del ricorso, è giustificato assegnare al ricorrente un'indennità per spese ripetibili di Fr. 1'200.-, da porre a carico dell'UAIE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