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C-8128/2007 vom 29. Juli 2009</w:t>
      </w:r>
    </w:p>
    <w:p>
      <w:r>
        <w:t>Bundesverwaltungsgericht, 2009-07-29, DE</w:t>
      </w:r>
    </w:p>
    <w:p>
      <w:r>
        <w:rPr>
          <w:b/>
        </w:rPr>
        <w:t xml:space="preserve">Quelle: </w:t>
      </w:r>
      <w:r>
        <w:t>https://mcp.opencaselaw.ch/entscheid/bvger_C-8128_2007</w:t>
      </w:r>
    </w:p>
    <w:p>
      <w:r>
        <w:t>FR: TAF C-8128/2007 du 29 juillet 2009</w:t>
      </w:r>
    </w:p>
    <w:p>
      <w:r>
        <w:t>IT: TAF C-8128/2007 del 29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Ausstellung eines Einreisevisums verweigert wird. In dieser rechtlichen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mazedonische Staatsangehörige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wirtschaftlichen und sozialen Lebensbedingungen in Mazedonien gestalten sich für breite Bevölkerungsschichten nach wie vor schwierig. Obschon seit dem Krisenjahr 2001 das Wirtschaftswachstum kontinuierlich gesteigert werden konnte, lag die Arbeitslosenquote im Jahre 2007 im europäischen Vergleich mit rund 35% weiterhin überdurchschnittlich hoch. Das Durchschnittsnettogehalt eines Berufstätigen betrug im Dezember 2007 bloss umgerechnet EUR 250. Der sprunghafte Anstieg der Energie- und Lebensmittelpreise im Jahre 2008 führte auch in Mazedonien zu einem erheblichen Anstieg der Inflationsrate von durchschnittlich ca. 10% in den ersten sechs Montaten (Quelle: Deutsches Auswärtiges Amt, &lt;www.auswaertiges-amt.de&gt;, Länder, Reisen und Sicherheit &gt; Mazedonien &gt; Wirtschaft, Stand: September 2008, besucht am 6. Juli 2009). Gemäss Word Bank Report lebt ein Fünftel der mazedonischen Bevölkerung in absoluter Armut (&lt;www.worldbank.org&gt;, Countries &gt; FYR of Macedonia &gt; Country Brief, Stand April 2009, besucht am 6. Juli 2009). Auf entsprechend hohem Niveau bewegt sich der Anteil derer, die sich zur Emigration entschliessen. Der Wille zur Auswanderung wird erfahrungsgemäss in jenen Fällen noch begünstigt, in denen sich Verwandte, Bekannte oder Freunde dauerhaft im Ausland aufhalten bzw. sich dort etabliert haben.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w:t>
      </w:r>
    </w:p>
    <w:p>
      <w:r>
        <w:t>Bei der Gesuchstellerin handelt es sich um eine 24-jährige, ledige und kinderlose Frau. Ihr Vater (der Beschwerdeführer) hält sich seit vielen Jahren in der Schweiz auf und verfügt inzwischen über eine Niederlassungsbewilligung. Die Mutter und die jüngste Schwester wurden im Jahre 2006 im Familiennachzug geregelt. Vier weitere Geschwister leben offenbar in Mazedonien und sind dort verheiratet. Der Beschwerdeführer macht geltend, die Gesuchstellerin habe in ihrer angestammten Umgebung durchaus familiäre Verantwortlichkeiten wahrzunehmen, die sie zu einer Rückkehr nach dem Besuchsaufenthalt verpflichteten. Sie lebe zusammen mit ihrer Grossmutter (und zeitweise auch mit der Mutter) auf dem familieneigenen Bauernhof in der Region von Krusevo und verrichte dort Arbeiten im Haushalt. Über die konkreten Verhältnisse ist allerdings weiter nichts aktenkundig. In völliger Unkenntnis über die Grösse und Organisation des Landwirtschaftsbetriebes kann nicht als erstellt betrachtet werden, dass die Gesuchstellerin an ihrem angestammten Ort unentbehrlich ist. Dagegen spricht schon die Tatsache, dass sie sich in ihrem persönlichen Antragsformular als "unemployed" bezeichnete und die Arbeit auf dem Bauernhof nicht erwähnte, aber auch der Umstand, dass sie ohne ersichtlichen Grund für volle drei Monate in die Schweiz reisen will. Kommt hinzu, dass auch über die wirtschaftlichen Verhältnisse, in denen sich die auf dem Hof lebenden Familienangehörigen befinden, und über die kurz- und mittelfristige Lebensplanung bzw. über die Zukunftsperspektiven der Gesuchstellerin nichts bekannt ist.</w:t>
      </w:r>
    </w:p>
    <w:p>
      <w:r>
        <w:rPr>
          <w:b/>
        </w:rPr>
        <w:t>E. 9</w:t>
      </w:r>
    </w:p>
    <w:p>
      <w:r>
        <w:t>Die Vorinstanz durfte vor dem allgemeinen und persönlichen Hintergrund demnach davon ausgehen, dass keine hinreichende Gewähr für eine fristgerechte und anstandslose Wiederausreise der Gesuchstellerin nach einem Besuchsaufenthalt besteht. An dieser Beurteilung vermögen die Zusicherungen des Beschwerdeführers und weiterer Verwandter nichts zu ändern. Derartige Absichtserklärungen sind rechtlich nicht verbindlich und faktisch auch nicht durchsetzbar. Gastgeber oder Dritte können zwar für gewisse finanzielle Risiken im Zusammenhang mit dem Besuchsaufenthalt, aus nahe liegenden Gründen aber nicht für ein bestimmtes Verhalten des Gastes garantieren (anstelle vieler vgl. Urteile des Bundesverwaltungsgerichts C-204/2008 vom 5. März 2009 E. 8.4 und C-3243/2007 vom 10. Juni 2008 E. 5.5).</w:t>
      </w:r>
    </w:p>
    <w:p>
      <w:r>
        <w:rPr>
          <w:b/>
        </w:rPr>
        <w:t>E. 10</w:t>
      </w:r>
    </w:p>
    <w:p>
      <w:r>
        <w:t>Aus vorstehenden Erwägungen folgt, dass die angefochtene Verfügung im Lichte von Art. 49 VwVG nicht zu beanstanden ist. Die Beschwerde ist daher abzuweisen.</w:t>
      </w:r>
    </w:p>
    <w:p>
      <w:r>
        <w:rPr>
          <w:b/>
        </w:rPr>
        <w:t>E. 11</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